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82AA" w14:textId="77777777" w:rsidR="005A74E1" w:rsidRDefault="005A74E1" w:rsidP="005A74E1">
      <w:pPr>
        <w:tabs>
          <w:tab w:val="center" w:pos="4536"/>
          <w:tab w:val="left" w:pos="7800"/>
        </w:tabs>
        <w:jc w:val="right"/>
        <w:rPr>
          <w:noProof/>
          <w:sz w:val="20"/>
        </w:rPr>
      </w:pPr>
    </w:p>
    <w:p w14:paraId="72A17432" w14:textId="77777777" w:rsidR="005A74E1" w:rsidRPr="00393B2E" w:rsidRDefault="005A74E1" w:rsidP="005A74E1">
      <w:pPr>
        <w:tabs>
          <w:tab w:val="center" w:pos="4536"/>
          <w:tab w:val="left" w:pos="7800"/>
        </w:tabs>
        <w:jc w:val="right"/>
        <w:rPr>
          <w:noProof/>
          <w:sz w:val="20"/>
        </w:rPr>
      </w:pPr>
      <w:r w:rsidRPr="00393B2E">
        <w:rPr>
          <w:noProof/>
        </w:rPr>
        <w:drawing>
          <wp:anchor distT="0" distB="0" distL="114300" distR="114300" simplePos="0" relativeHeight="251659264" behindDoc="0" locked="0" layoutInCell="0" allowOverlap="1" wp14:anchorId="25E67351" wp14:editId="14E2B7D4">
            <wp:simplePos x="0" y="0"/>
            <wp:positionH relativeFrom="column">
              <wp:posOffset>2499360</wp:posOffset>
            </wp:positionH>
            <wp:positionV relativeFrom="paragraph">
              <wp:posOffset>0</wp:posOffset>
            </wp:positionV>
            <wp:extent cx="826770" cy="911225"/>
            <wp:effectExtent l="0" t="0" r="0" b="3175"/>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38419" w14:textId="77777777" w:rsidR="005A74E1" w:rsidRPr="00393B2E" w:rsidRDefault="005A74E1" w:rsidP="005A74E1">
      <w:pPr>
        <w:tabs>
          <w:tab w:val="center" w:pos="4536"/>
          <w:tab w:val="left" w:pos="7800"/>
        </w:tabs>
        <w:jc w:val="right"/>
        <w:rPr>
          <w:noProof/>
          <w:sz w:val="20"/>
        </w:rPr>
      </w:pPr>
    </w:p>
    <w:p w14:paraId="371F7625" w14:textId="77777777" w:rsidR="005A74E1" w:rsidRPr="00393B2E" w:rsidRDefault="005A74E1" w:rsidP="005A74E1">
      <w:pPr>
        <w:tabs>
          <w:tab w:val="center" w:pos="4536"/>
          <w:tab w:val="left" w:pos="7800"/>
        </w:tabs>
        <w:jc w:val="right"/>
        <w:rPr>
          <w:b/>
          <w:noProof/>
        </w:rPr>
      </w:pPr>
    </w:p>
    <w:p w14:paraId="4D0432B9" w14:textId="77777777" w:rsidR="005A74E1" w:rsidRPr="00393B2E" w:rsidRDefault="005A74E1" w:rsidP="005A74E1">
      <w:pPr>
        <w:tabs>
          <w:tab w:val="center" w:pos="4536"/>
          <w:tab w:val="left" w:pos="7800"/>
        </w:tabs>
        <w:jc w:val="right"/>
        <w:rPr>
          <w:b/>
          <w:noProof/>
        </w:rPr>
      </w:pPr>
      <w:r w:rsidRPr="00393B2E">
        <w:rPr>
          <w:b/>
          <w:noProof/>
        </w:rPr>
        <w:br/>
      </w:r>
    </w:p>
    <w:p w14:paraId="351AAF69" w14:textId="77777777" w:rsidR="005A74E1" w:rsidRPr="00393B2E" w:rsidRDefault="005A74E1" w:rsidP="005A74E1">
      <w:pPr>
        <w:pStyle w:val="Pealkiri1"/>
        <w:jc w:val="left"/>
        <w:rPr>
          <w:b w:val="0"/>
          <w:sz w:val="36"/>
          <w:szCs w:val="36"/>
        </w:rPr>
      </w:pPr>
    </w:p>
    <w:p w14:paraId="5BC81E91" w14:textId="77777777" w:rsidR="005A74E1" w:rsidRPr="00393B2E" w:rsidRDefault="005A74E1" w:rsidP="005A74E1">
      <w:pPr>
        <w:pStyle w:val="Pealkiri1"/>
        <w:rPr>
          <w:b w:val="0"/>
          <w:sz w:val="36"/>
          <w:szCs w:val="36"/>
        </w:rPr>
      </w:pPr>
      <w:r w:rsidRPr="00393B2E">
        <w:rPr>
          <w:b w:val="0"/>
          <w:sz w:val="36"/>
          <w:szCs w:val="36"/>
        </w:rPr>
        <w:t>KOHTUMÄÄRUS</w:t>
      </w:r>
    </w:p>
    <w:p w14:paraId="27498F32" w14:textId="77777777" w:rsidR="005A74E1" w:rsidRPr="00393B2E" w:rsidRDefault="005A74E1" w:rsidP="005A74E1">
      <w:pPr>
        <w:jc w:val="center"/>
        <w:rPr>
          <w:noProof/>
        </w:rPr>
      </w:pPr>
    </w:p>
    <w:tbl>
      <w:tblPr>
        <w:tblW w:w="9531" w:type="dxa"/>
        <w:tblInd w:w="108" w:type="dxa"/>
        <w:tblLayout w:type="fixed"/>
        <w:tblLook w:val="0000" w:firstRow="0" w:lastRow="0" w:firstColumn="0" w:lastColumn="0" w:noHBand="0" w:noVBand="0"/>
      </w:tblPr>
      <w:tblGrid>
        <w:gridCol w:w="3686"/>
        <w:gridCol w:w="5845"/>
      </w:tblGrid>
      <w:tr w:rsidR="005A74E1" w:rsidRPr="00393B2E" w14:paraId="3B663824" w14:textId="77777777" w:rsidTr="001C4494">
        <w:tc>
          <w:tcPr>
            <w:tcW w:w="3686" w:type="dxa"/>
          </w:tcPr>
          <w:p w14:paraId="4C0747EE" w14:textId="77777777" w:rsidR="005A74E1" w:rsidRPr="00393B2E" w:rsidRDefault="005A74E1" w:rsidP="001C4494">
            <w:pPr>
              <w:pStyle w:val="Vahedeta"/>
              <w:spacing w:after="60"/>
              <w:jc w:val="both"/>
              <w:rPr>
                <w:b/>
                <w:noProof/>
              </w:rPr>
            </w:pPr>
            <w:r w:rsidRPr="00393B2E">
              <w:rPr>
                <w:b/>
                <w:noProof/>
              </w:rPr>
              <w:t>Kohus</w:t>
            </w:r>
          </w:p>
        </w:tc>
        <w:tc>
          <w:tcPr>
            <w:tcW w:w="5845" w:type="dxa"/>
          </w:tcPr>
          <w:p w14:paraId="4E5F5C56" w14:textId="77777777" w:rsidR="005A74E1" w:rsidRPr="00393B2E" w:rsidRDefault="005A74E1" w:rsidP="001C4494">
            <w:pPr>
              <w:pStyle w:val="Vahedeta"/>
              <w:spacing w:after="60"/>
              <w:jc w:val="both"/>
              <w:rPr>
                <w:noProof/>
              </w:rPr>
            </w:pPr>
            <w:r w:rsidRPr="00393B2E">
              <w:rPr>
                <w:noProof/>
              </w:rPr>
              <w:t>Harju Maakohus</w:t>
            </w:r>
          </w:p>
        </w:tc>
      </w:tr>
      <w:tr w:rsidR="005A74E1" w:rsidRPr="00393B2E" w14:paraId="3E7E69C4" w14:textId="77777777" w:rsidTr="001C4494">
        <w:tc>
          <w:tcPr>
            <w:tcW w:w="3686" w:type="dxa"/>
          </w:tcPr>
          <w:p w14:paraId="5B84A24E" w14:textId="77777777" w:rsidR="005A74E1" w:rsidRPr="00393B2E" w:rsidRDefault="005A74E1" w:rsidP="001C4494">
            <w:pPr>
              <w:pStyle w:val="Vahedeta"/>
              <w:spacing w:after="60"/>
              <w:jc w:val="both"/>
              <w:rPr>
                <w:b/>
                <w:noProof/>
              </w:rPr>
            </w:pPr>
            <w:r w:rsidRPr="00393B2E">
              <w:rPr>
                <w:b/>
                <w:noProof/>
              </w:rPr>
              <w:t>Kohtunik</w:t>
            </w:r>
          </w:p>
        </w:tc>
        <w:tc>
          <w:tcPr>
            <w:tcW w:w="5845" w:type="dxa"/>
          </w:tcPr>
          <w:p w14:paraId="0A537364" w14:textId="77777777" w:rsidR="005A74E1" w:rsidRPr="00393B2E" w:rsidRDefault="005A74E1" w:rsidP="001C4494">
            <w:pPr>
              <w:pStyle w:val="Vahedeta"/>
              <w:spacing w:after="60"/>
              <w:jc w:val="both"/>
            </w:pPr>
            <w:r w:rsidRPr="00393B2E">
              <w:t>Kaisa Margus</w:t>
            </w:r>
          </w:p>
        </w:tc>
      </w:tr>
      <w:tr w:rsidR="005A74E1" w:rsidRPr="00393B2E" w14:paraId="1C2C3B45" w14:textId="77777777" w:rsidTr="001C4494">
        <w:tc>
          <w:tcPr>
            <w:tcW w:w="3686" w:type="dxa"/>
          </w:tcPr>
          <w:p w14:paraId="16CDCCD3" w14:textId="77777777" w:rsidR="005A74E1" w:rsidRPr="00E774BB" w:rsidRDefault="005A74E1" w:rsidP="001C4494">
            <w:pPr>
              <w:pStyle w:val="Vahedeta"/>
              <w:spacing w:after="60"/>
              <w:rPr>
                <w:b/>
                <w:noProof/>
                <w:lang w:val="fi-FI"/>
              </w:rPr>
            </w:pPr>
            <w:r w:rsidRPr="00E774BB">
              <w:rPr>
                <w:b/>
                <w:noProof/>
                <w:lang w:val="fi-FI"/>
              </w:rPr>
              <w:t>Määruse tegemise aeg ja koht</w:t>
            </w:r>
          </w:p>
        </w:tc>
        <w:tc>
          <w:tcPr>
            <w:tcW w:w="5845" w:type="dxa"/>
          </w:tcPr>
          <w:p w14:paraId="70377FBC" w14:textId="54C88A9F" w:rsidR="005A74E1" w:rsidRPr="00E774BB" w:rsidRDefault="00CD7666" w:rsidP="001C4494">
            <w:pPr>
              <w:pStyle w:val="Vahedeta"/>
              <w:spacing w:after="60"/>
              <w:jc w:val="both"/>
            </w:pPr>
            <w:r w:rsidRPr="00E774BB">
              <w:rPr>
                <w:noProof/>
              </w:rPr>
              <w:t>30.08.2024</w:t>
            </w:r>
            <w:r w:rsidR="005A74E1" w:rsidRPr="00E774BB">
              <w:rPr>
                <w:noProof/>
              </w:rPr>
              <w:t xml:space="preserve">, </w:t>
            </w:r>
            <w:r w:rsidR="005A74E1" w:rsidRPr="00E774BB">
              <w:t xml:space="preserve"> Tallinn</w:t>
            </w:r>
          </w:p>
        </w:tc>
      </w:tr>
      <w:tr w:rsidR="005A74E1" w:rsidRPr="00393B2E" w14:paraId="7B709C3E" w14:textId="77777777" w:rsidTr="001C4494">
        <w:tc>
          <w:tcPr>
            <w:tcW w:w="3686" w:type="dxa"/>
          </w:tcPr>
          <w:p w14:paraId="67EA962A" w14:textId="77777777" w:rsidR="005A74E1" w:rsidRPr="00393B2E" w:rsidRDefault="005A74E1" w:rsidP="001C4494">
            <w:pPr>
              <w:pStyle w:val="Vahedeta"/>
              <w:spacing w:after="60"/>
              <w:jc w:val="both"/>
              <w:rPr>
                <w:b/>
                <w:noProof/>
              </w:rPr>
            </w:pPr>
            <w:r w:rsidRPr="00393B2E">
              <w:rPr>
                <w:b/>
                <w:noProof/>
              </w:rPr>
              <w:t>Tsiviilasja number</w:t>
            </w:r>
          </w:p>
        </w:tc>
        <w:tc>
          <w:tcPr>
            <w:tcW w:w="5845" w:type="dxa"/>
          </w:tcPr>
          <w:p w14:paraId="2D8FA9C4" w14:textId="6A31C6BB" w:rsidR="005A74E1" w:rsidRPr="00393B2E" w:rsidRDefault="00CD7666" w:rsidP="001C4494">
            <w:pPr>
              <w:pStyle w:val="Vahedeta"/>
              <w:spacing w:after="60"/>
              <w:jc w:val="both"/>
            </w:pPr>
            <w:r>
              <w:t>2-24-11428</w:t>
            </w:r>
          </w:p>
        </w:tc>
      </w:tr>
      <w:tr w:rsidR="005A74E1" w:rsidRPr="00393B2E" w14:paraId="512F367C" w14:textId="77777777" w:rsidTr="001C4494">
        <w:trPr>
          <w:trHeight w:val="751"/>
        </w:trPr>
        <w:tc>
          <w:tcPr>
            <w:tcW w:w="3686" w:type="dxa"/>
          </w:tcPr>
          <w:p w14:paraId="2A26E0C6" w14:textId="77777777" w:rsidR="005A74E1" w:rsidRPr="00393B2E" w:rsidRDefault="005A74E1" w:rsidP="001C4494">
            <w:pPr>
              <w:pStyle w:val="Vahedeta"/>
              <w:spacing w:after="60"/>
              <w:jc w:val="both"/>
              <w:rPr>
                <w:b/>
                <w:bCs/>
                <w:noProof/>
              </w:rPr>
            </w:pPr>
            <w:r w:rsidRPr="00393B2E">
              <w:rPr>
                <w:b/>
                <w:bCs/>
                <w:noProof/>
              </w:rPr>
              <w:t>Tsiviilasi</w:t>
            </w:r>
          </w:p>
          <w:p w14:paraId="6E04B3ED" w14:textId="77777777" w:rsidR="00CD7666" w:rsidRDefault="00CD7666" w:rsidP="001C4494">
            <w:pPr>
              <w:pStyle w:val="Vahedeta"/>
              <w:spacing w:after="60"/>
              <w:jc w:val="both"/>
              <w:rPr>
                <w:b/>
                <w:bCs/>
                <w:noProof/>
              </w:rPr>
            </w:pPr>
          </w:p>
          <w:p w14:paraId="3089D549" w14:textId="3A3067A3" w:rsidR="005A74E1" w:rsidRPr="00393B2E" w:rsidRDefault="005A74E1" w:rsidP="001C4494">
            <w:pPr>
              <w:pStyle w:val="Vahedeta"/>
              <w:spacing w:after="60"/>
              <w:jc w:val="both"/>
              <w:rPr>
                <w:b/>
                <w:bCs/>
                <w:noProof/>
              </w:rPr>
            </w:pPr>
            <w:r w:rsidRPr="00393B2E">
              <w:rPr>
                <w:b/>
                <w:bCs/>
                <w:noProof/>
              </w:rPr>
              <w:t>Menetlusosalised ja nende</w:t>
            </w:r>
          </w:p>
          <w:p w14:paraId="32C824B1" w14:textId="77777777" w:rsidR="005A74E1" w:rsidRPr="00393B2E" w:rsidRDefault="005A74E1" w:rsidP="001C4494">
            <w:pPr>
              <w:pStyle w:val="Vahedeta"/>
              <w:spacing w:after="60"/>
              <w:jc w:val="both"/>
              <w:rPr>
                <w:b/>
                <w:bCs/>
                <w:noProof/>
              </w:rPr>
            </w:pPr>
            <w:r w:rsidRPr="00393B2E">
              <w:rPr>
                <w:b/>
                <w:bCs/>
                <w:noProof/>
              </w:rPr>
              <w:t>esindajad</w:t>
            </w:r>
          </w:p>
          <w:p w14:paraId="62EB79C6" w14:textId="77777777" w:rsidR="00B34728" w:rsidRPr="00393B2E" w:rsidRDefault="00B34728" w:rsidP="001C4494">
            <w:pPr>
              <w:pStyle w:val="Vahedeta"/>
              <w:spacing w:after="60"/>
              <w:jc w:val="both"/>
              <w:rPr>
                <w:b/>
                <w:bCs/>
                <w:noProof/>
              </w:rPr>
            </w:pPr>
          </w:p>
          <w:p w14:paraId="4334659B" w14:textId="30E4BADB" w:rsidR="005A74E1" w:rsidRPr="00393B2E" w:rsidRDefault="00B34728" w:rsidP="001C4494">
            <w:pPr>
              <w:pStyle w:val="Vahedeta"/>
              <w:spacing w:after="60"/>
              <w:jc w:val="both"/>
              <w:rPr>
                <w:b/>
                <w:bCs/>
                <w:noProof/>
              </w:rPr>
            </w:pPr>
            <w:r w:rsidRPr="00393B2E">
              <w:rPr>
                <w:b/>
                <w:bCs/>
                <w:noProof/>
              </w:rPr>
              <w:br/>
            </w:r>
            <w:r w:rsidR="005A74E1" w:rsidRPr="00393B2E">
              <w:rPr>
                <w:b/>
                <w:bCs/>
                <w:noProof/>
              </w:rPr>
              <w:t>Menetlustoiming</w:t>
            </w:r>
          </w:p>
        </w:tc>
        <w:tc>
          <w:tcPr>
            <w:tcW w:w="5845" w:type="dxa"/>
          </w:tcPr>
          <w:p w14:paraId="2AAFED54" w14:textId="77777777" w:rsidR="00CD7666" w:rsidRDefault="00CD7666" w:rsidP="001C4494">
            <w:pPr>
              <w:pStyle w:val="Vahedeta"/>
              <w:spacing w:after="60"/>
              <w:jc w:val="both"/>
              <w:rPr>
                <w:b/>
              </w:rPr>
            </w:pPr>
            <w:r w:rsidRPr="00CD7666">
              <w:rPr>
                <w:b/>
              </w:rPr>
              <w:t>Eurora FR Services OÜ (likvideerimisel) pankrotiavaldus</w:t>
            </w:r>
          </w:p>
          <w:p w14:paraId="2A9DDCF6" w14:textId="4B44D644" w:rsidR="00CD7666" w:rsidRPr="009E48D3" w:rsidRDefault="00CD7666" w:rsidP="00CD7666">
            <w:pPr>
              <w:spacing w:after="120"/>
              <w:jc w:val="both"/>
            </w:pPr>
            <w:r w:rsidRPr="009E48D3">
              <w:t>Võlgnik: Eurora FR Services OÜ (likvideerimisel, registrikood 16192059)</w:t>
            </w:r>
          </w:p>
          <w:p w14:paraId="6A73D9EA" w14:textId="7025FDE1" w:rsidR="00CD7666" w:rsidRDefault="00CD7666" w:rsidP="00CD7666">
            <w:pPr>
              <w:pStyle w:val="Vahedeta"/>
              <w:spacing w:after="60"/>
              <w:jc w:val="both"/>
            </w:pPr>
            <w:r w:rsidRPr="009E48D3">
              <w:t xml:space="preserve">Ajutine pankrotihaldur: Toomas Saarma (e-post: </w:t>
            </w:r>
            <w:hyperlink r:id="rId9" w:history="1">
              <w:r w:rsidRPr="007A1E2D">
                <w:rPr>
                  <w:rStyle w:val="Hperlink"/>
                </w:rPr>
                <w:t>haldur@haldur.eu</w:t>
              </w:r>
            </w:hyperlink>
            <w:r w:rsidRPr="009E48D3">
              <w:t>)</w:t>
            </w:r>
          </w:p>
          <w:p w14:paraId="097E6682" w14:textId="51E13D8C" w:rsidR="005A74E1" w:rsidRPr="00393B2E" w:rsidRDefault="005A74E1" w:rsidP="00CD7666">
            <w:pPr>
              <w:pStyle w:val="Vahedeta"/>
              <w:spacing w:after="60"/>
              <w:jc w:val="both"/>
              <w:rPr>
                <w:b/>
              </w:rPr>
            </w:pPr>
            <w:r w:rsidRPr="00393B2E">
              <w:rPr>
                <w:bCs/>
              </w:rPr>
              <w:t xml:space="preserve">Pankroti </w:t>
            </w:r>
            <w:r w:rsidRPr="00CD7666">
              <w:rPr>
                <w:bCs/>
              </w:rPr>
              <w:t>väljakuulutamine, kirjalik menetlus</w:t>
            </w:r>
          </w:p>
        </w:tc>
      </w:tr>
      <w:tr w:rsidR="005A74E1" w:rsidRPr="00393B2E" w14:paraId="349532A3" w14:textId="77777777" w:rsidTr="001C4494">
        <w:tc>
          <w:tcPr>
            <w:tcW w:w="9531" w:type="dxa"/>
            <w:gridSpan w:val="2"/>
          </w:tcPr>
          <w:p w14:paraId="1B4A01CD" w14:textId="77777777" w:rsidR="005A74E1" w:rsidRPr="00393B2E" w:rsidRDefault="005A74E1" w:rsidP="001C4494">
            <w:pPr>
              <w:pStyle w:val="Vahedeta"/>
              <w:jc w:val="both"/>
              <w:rPr>
                <w:b/>
                <w:bCs/>
                <w:noProof/>
              </w:rPr>
            </w:pPr>
          </w:p>
          <w:p w14:paraId="0133C548" w14:textId="77777777" w:rsidR="005A74E1" w:rsidRPr="00393B2E" w:rsidRDefault="005A74E1" w:rsidP="001C4494">
            <w:pPr>
              <w:pStyle w:val="Vahedeta"/>
              <w:jc w:val="both"/>
              <w:rPr>
                <w:b/>
                <w:bCs/>
                <w:noProof/>
              </w:rPr>
            </w:pPr>
            <w:r w:rsidRPr="00393B2E">
              <w:rPr>
                <w:b/>
                <w:bCs/>
                <w:noProof/>
              </w:rPr>
              <w:t xml:space="preserve">RESOLUTSIOON </w:t>
            </w:r>
          </w:p>
          <w:p w14:paraId="3A240A49" w14:textId="77777777" w:rsidR="005A74E1" w:rsidRPr="00393B2E" w:rsidRDefault="005A74E1" w:rsidP="001C4494">
            <w:pPr>
              <w:ind w:left="720"/>
              <w:rPr>
                <w:sz w:val="16"/>
                <w:szCs w:val="16"/>
              </w:rPr>
            </w:pPr>
          </w:p>
          <w:p w14:paraId="13AB7607" w14:textId="2BCD856C" w:rsidR="005A74E1" w:rsidRPr="00844A13" w:rsidRDefault="005A74E1" w:rsidP="001C4494">
            <w:pPr>
              <w:pStyle w:val="Loendilik"/>
              <w:numPr>
                <w:ilvl w:val="0"/>
                <w:numId w:val="1"/>
              </w:numPr>
              <w:spacing w:before="60" w:after="60"/>
              <w:jc w:val="both"/>
              <w:rPr>
                <w:b/>
              </w:rPr>
            </w:pPr>
            <w:r w:rsidRPr="00844A13">
              <w:rPr>
                <w:b/>
                <w:bCs/>
              </w:rPr>
              <w:t>Kuulutada välja</w:t>
            </w:r>
            <w:r w:rsidRPr="00844A13">
              <w:rPr>
                <w:b/>
              </w:rPr>
              <w:t xml:space="preserve"> </w:t>
            </w:r>
            <w:r w:rsidR="00CD7666" w:rsidRPr="00844A13">
              <w:rPr>
                <w:b/>
                <w:bCs/>
              </w:rPr>
              <w:t xml:space="preserve">Eurora FR Services OÜ (likvideerimisel, registrikood 16192059) </w:t>
            </w:r>
            <w:r w:rsidRPr="00844A13">
              <w:rPr>
                <w:b/>
                <w:bCs/>
              </w:rPr>
              <w:t xml:space="preserve">pankrot </w:t>
            </w:r>
            <w:r w:rsidR="00CD7666" w:rsidRPr="00844A13">
              <w:rPr>
                <w:b/>
                <w:bCs/>
              </w:rPr>
              <w:t>30. augustil 2024</w:t>
            </w:r>
            <w:r w:rsidRPr="00844A13">
              <w:rPr>
                <w:b/>
                <w:bCs/>
              </w:rPr>
              <w:t xml:space="preserve"> kell </w:t>
            </w:r>
            <w:r w:rsidR="002504DE">
              <w:rPr>
                <w:b/>
                <w:bCs/>
              </w:rPr>
              <w:t>12</w:t>
            </w:r>
            <w:r w:rsidR="00844A13" w:rsidRPr="00844A13">
              <w:rPr>
                <w:b/>
                <w:bCs/>
              </w:rPr>
              <w:t>:</w:t>
            </w:r>
            <w:r w:rsidR="002504DE">
              <w:rPr>
                <w:b/>
                <w:bCs/>
              </w:rPr>
              <w:t>45.</w:t>
            </w:r>
          </w:p>
          <w:p w14:paraId="33DBB1E0" w14:textId="7B219790" w:rsidR="005A74E1" w:rsidRPr="00393B2E" w:rsidRDefault="005A74E1" w:rsidP="001C4494">
            <w:pPr>
              <w:pStyle w:val="Loendilik"/>
              <w:numPr>
                <w:ilvl w:val="0"/>
                <w:numId w:val="1"/>
              </w:numPr>
              <w:spacing w:before="60" w:after="60"/>
              <w:jc w:val="both"/>
              <w:rPr>
                <w:b/>
              </w:rPr>
            </w:pPr>
            <w:r w:rsidRPr="00393B2E">
              <w:rPr>
                <w:b/>
                <w:bCs/>
              </w:rPr>
              <w:t>Nimetada</w:t>
            </w:r>
            <w:r w:rsidRPr="00393B2E">
              <w:rPr>
                <w:b/>
              </w:rPr>
              <w:t xml:space="preserve"> </w:t>
            </w:r>
            <w:r w:rsidR="00CD7666" w:rsidRPr="00CD7666">
              <w:rPr>
                <w:b/>
                <w:bCs/>
              </w:rPr>
              <w:t>Eurora FR Services OÜ (likvideerimisel</w:t>
            </w:r>
            <w:r w:rsidR="00CD7666">
              <w:rPr>
                <w:b/>
                <w:bCs/>
              </w:rPr>
              <w:t xml:space="preserve">) </w:t>
            </w:r>
            <w:r w:rsidRPr="00393B2E">
              <w:rPr>
                <w:b/>
                <w:bCs/>
              </w:rPr>
              <w:t>pankrotihalduriks</w:t>
            </w:r>
            <w:r w:rsidRPr="00393B2E">
              <w:rPr>
                <w:b/>
              </w:rPr>
              <w:t xml:space="preserve"> </w:t>
            </w:r>
            <w:r w:rsidR="00CD7666">
              <w:rPr>
                <w:b/>
                <w:noProof/>
              </w:rPr>
              <w:t>Toomas Saarma</w:t>
            </w:r>
            <w:r w:rsidRPr="00393B2E">
              <w:rPr>
                <w:b/>
                <w:noProof/>
              </w:rPr>
              <w:t>.</w:t>
            </w:r>
          </w:p>
          <w:p w14:paraId="3F57DC65" w14:textId="3994E7D5" w:rsidR="0092170E" w:rsidRPr="00CD7666" w:rsidRDefault="0092170E" w:rsidP="001C4494">
            <w:pPr>
              <w:pStyle w:val="Loendilik"/>
              <w:numPr>
                <w:ilvl w:val="0"/>
                <w:numId w:val="1"/>
              </w:numPr>
              <w:spacing w:before="60" w:after="60"/>
              <w:jc w:val="both"/>
              <w:rPr>
                <w:b/>
              </w:rPr>
            </w:pPr>
            <w:r w:rsidRPr="00CD7666">
              <w:rPr>
                <w:b/>
              </w:rPr>
              <w:t xml:space="preserve">Määrata võlausaldajate esimese üldkoosoleku ajaks </w:t>
            </w:r>
            <w:r w:rsidR="00CD7666" w:rsidRPr="00CD7666">
              <w:rPr>
                <w:b/>
              </w:rPr>
              <w:t>17.09.2024</w:t>
            </w:r>
            <w:r w:rsidRPr="00CD7666">
              <w:rPr>
                <w:b/>
              </w:rPr>
              <w:t xml:space="preserve"> kell 09.</w:t>
            </w:r>
            <w:r w:rsidR="008C50AC">
              <w:rPr>
                <w:b/>
              </w:rPr>
              <w:t>00</w:t>
            </w:r>
            <w:r w:rsidRPr="00CD7666">
              <w:rPr>
                <w:b/>
              </w:rPr>
              <w:t>. Koosolek toimub Harju Maakohtus (Lubja 4, kohtusaal 4006).</w:t>
            </w:r>
          </w:p>
          <w:p w14:paraId="51093F6E" w14:textId="4459AD3D" w:rsidR="005A74E1" w:rsidRPr="00393B2E" w:rsidRDefault="005A74E1" w:rsidP="001C4494">
            <w:pPr>
              <w:pStyle w:val="Loendilik"/>
              <w:numPr>
                <w:ilvl w:val="0"/>
                <w:numId w:val="1"/>
              </w:numPr>
              <w:spacing w:before="60" w:after="60"/>
              <w:jc w:val="both"/>
              <w:rPr>
                <w:b/>
              </w:rPr>
            </w:pPr>
            <w:r w:rsidRPr="00393B2E">
              <w:rPr>
                <w:b/>
                <w:bCs/>
              </w:rPr>
              <w:t>Võlausaldajad on kohustatud hiljemalt kahe kuu jooksul pankrotiteate väljaandes Ametlikud Teadaanded ilmumise päevast arvates teatama haldurile kõigist oma enne pankroti väljakuulutamist tekkinud nõuetest võlgniku vastu, sõltumata nende tekkimise alusest ja nõude täht</w:t>
            </w:r>
            <w:r w:rsidR="008C1630" w:rsidRPr="00393B2E">
              <w:rPr>
                <w:b/>
                <w:bCs/>
              </w:rPr>
              <w:t>päevast</w:t>
            </w:r>
            <w:r w:rsidRPr="00393B2E">
              <w:rPr>
                <w:b/>
                <w:bCs/>
              </w:rPr>
              <w:t>. Tähtaegselt esitamata, kuid tunnustatud nõuded rahuldatakse viimases järgus.</w:t>
            </w:r>
          </w:p>
          <w:p w14:paraId="6AD34490" w14:textId="77777777" w:rsidR="005A74E1" w:rsidRPr="00393B2E" w:rsidRDefault="005A74E1" w:rsidP="001C4494">
            <w:pPr>
              <w:pStyle w:val="Loendilik"/>
              <w:numPr>
                <w:ilvl w:val="0"/>
                <w:numId w:val="1"/>
              </w:numPr>
              <w:spacing w:before="120" w:after="120"/>
              <w:jc w:val="both"/>
              <w:rPr>
                <w:b/>
              </w:rPr>
            </w:pPr>
            <w:r w:rsidRPr="00393B2E">
              <w:rPr>
                <w:b/>
              </w:rPr>
              <w:t>Kõik isikud, kelle valduses on võlgnikule kuuluv vara või kellel on varalisi kohustusi võlgniku suhtes, on kohustatud selle kohta andma teavet pankrotihaldurile.</w:t>
            </w:r>
          </w:p>
          <w:p w14:paraId="45FA2DD7" w14:textId="77777777" w:rsidR="005A74E1" w:rsidRPr="00393B2E" w:rsidRDefault="005A74E1" w:rsidP="001C4494">
            <w:pPr>
              <w:pStyle w:val="Loendilik"/>
              <w:numPr>
                <w:ilvl w:val="0"/>
                <w:numId w:val="1"/>
              </w:numPr>
              <w:spacing w:before="60" w:after="60"/>
              <w:jc w:val="both"/>
              <w:rPr>
                <w:b/>
              </w:rPr>
            </w:pPr>
            <w:r w:rsidRPr="00393B2E">
              <w:rPr>
                <w:b/>
                <w:bCs/>
              </w:rPr>
              <w:t>Võlgnikule võlgnetavate kohustuste täitmist võib vastu võtta üksnes pankrotihaldur.</w:t>
            </w:r>
          </w:p>
          <w:p w14:paraId="63748F4F" w14:textId="77777777" w:rsidR="005A74E1" w:rsidRPr="00393B2E" w:rsidRDefault="005A74E1" w:rsidP="001C4494">
            <w:pPr>
              <w:numPr>
                <w:ilvl w:val="0"/>
                <w:numId w:val="1"/>
              </w:numPr>
              <w:spacing w:before="60" w:after="60"/>
              <w:jc w:val="both"/>
              <w:rPr>
                <w:b/>
              </w:rPr>
            </w:pPr>
            <w:r w:rsidRPr="00393B2E">
              <w:rPr>
                <w:b/>
                <w:bCs/>
              </w:rPr>
              <w:t>Pankrotimäärus kuulub viivitamatult täitmisele.</w:t>
            </w:r>
          </w:p>
          <w:p w14:paraId="7117F531" w14:textId="4F42585B" w:rsidR="00BA0988" w:rsidRPr="00393B2E" w:rsidRDefault="005A74E1" w:rsidP="001C4494">
            <w:pPr>
              <w:widowControl w:val="0"/>
              <w:numPr>
                <w:ilvl w:val="0"/>
                <w:numId w:val="1"/>
              </w:numPr>
              <w:overflowPunct w:val="0"/>
              <w:autoSpaceDE w:val="0"/>
              <w:autoSpaceDN w:val="0"/>
              <w:adjustRightInd w:val="0"/>
              <w:spacing w:before="60" w:after="120"/>
              <w:jc w:val="both"/>
              <w:textAlignment w:val="baseline"/>
              <w:rPr>
                <w:b/>
                <w:bCs/>
              </w:rPr>
            </w:pPr>
            <w:r w:rsidRPr="00393B2E">
              <w:rPr>
                <w:b/>
                <w:bCs/>
              </w:rPr>
              <w:t>Teha käesolev kohtumäärus teatavaks väljaandes Ametlikud Teadaanded</w:t>
            </w:r>
            <w:r w:rsidR="00CD7666">
              <w:rPr>
                <w:b/>
                <w:bCs/>
              </w:rPr>
              <w:t>.</w:t>
            </w:r>
          </w:p>
          <w:p w14:paraId="09AAA7E3" w14:textId="3BF2EA6C" w:rsidR="005A74E1" w:rsidRPr="00393B2E" w:rsidRDefault="000E0125" w:rsidP="001C4494">
            <w:pPr>
              <w:widowControl w:val="0"/>
              <w:numPr>
                <w:ilvl w:val="0"/>
                <w:numId w:val="1"/>
              </w:numPr>
              <w:overflowPunct w:val="0"/>
              <w:autoSpaceDE w:val="0"/>
              <w:autoSpaceDN w:val="0"/>
              <w:adjustRightInd w:val="0"/>
              <w:spacing w:before="60" w:after="120"/>
              <w:jc w:val="both"/>
              <w:textAlignment w:val="baseline"/>
              <w:rPr>
                <w:b/>
                <w:bCs/>
              </w:rPr>
            </w:pPr>
            <w:r w:rsidRPr="00393B2E">
              <w:rPr>
                <w:b/>
                <w:bCs/>
              </w:rPr>
              <w:t>E</w:t>
            </w:r>
            <w:r w:rsidR="009E6034" w:rsidRPr="00393B2E">
              <w:rPr>
                <w:b/>
                <w:bCs/>
              </w:rPr>
              <w:t xml:space="preserve">dastada </w:t>
            </w:r>
            <w:r w:rsidRPr="00393B2E">
              <w:rPr>
                <w:b/>
                <w:bCs/>
              </w:rPr>
              <w:t xml:space="preserve">kohtumäärus </w:t>
            </w:r>
            <w:r w:rsidR="009E6034" w:rsidRPr="00393B2E">
              <w:rPr>
                <w:b/>
                <w:bCs/>
              </w:rPr>
              <w:t>Tartu Maakohtu registriosakonnale</w:t>
            </w:r>
            <w:r w:rsidR="005A74E1" w:rsidRPr="00393B2E">
              <w:rPr>
                <w:b/>
                <w:bCs/>
              </w:rPr>
              <w:t>.</w:t>
            </w:r>
          </w:p>
          <w:p w14:paraId="72F76F4D" w14:textId="2ADCCF23" w:rsidR="005A74E1" w:rsidRPr="00393B2E" w:rsidRDefault="005A74E1" w:rsidP="001C4494">
            <w:pPr>
              <w:pStyle w:val="Loendilik"/>
              <w:numPr>
                <w:ilvl w:val="0"/>
                <w:numId w:val="1"/>
              </w:numPr>
              <w:spacing w:before="60" w:after="60"/>
              <w:jc w:val="both"/>
              <w:rPr>
                <w:b/>
              </w:rPr>
            </w:pPr>
            <w:r w:rsidRPr="00393B2E">
              <w:rPr>
                <w:b/>
              </w:rPr>
              <w:t>Jätta menetluskulud võlgniku</w:t>
            </w:r>
            <w:r w:rsidRPr="00393B2E">
              <w:rPr>
                <w:b/>
                <w:bCs/>
              </w:rPr>
              <w:t xml:space="preserve"> </w:t>
            </w:r>
            <w:r w:rsidRPr="00393B2E">
              <w:rPr>
                <w:b/>
              </w:rPr>
              <w:t xml:space="preserve">kanda. </w:t>
            </w:r>
          </w:p>
          <w:p w14:paraId="02A3258C" w14:textId="20B9C08D" w:rsidR="00D07A99" w:rsidRPr="00393B2E" w:rsidRDefault="00D07A99" w:rsidP="00D07A99">
            <w:pPr>
              <w:pStyle w:val="Loendilik"/>
              <w:widowControl w:val="0"/>
              <w:numPr>
                <w:ilvl w:val="0"/>
                <w:numId w:val="1"/>
              </w:numPr>
              <w:suppressAutoHyphens/>
              <w:spacing w:after="120"/>
              <w:jc w:val="both"/>
              <w:rPr>
                <w:b/>
              </w:rPr>
            </w:pPr>
            <w:r w:rsidRPr="00393B2E">
              <w:rPr>
                <w:rFonts w:eastAsia="Tahoma"/>
                <w:b/>
                <w:lang w:bidi="en-US"/>
              </w:rPr>
              <w:t xml:space="preserve">Mõista </w:t>
            </w:r>
            <w:r w:rsidRPr="00393B2E">
              <w:rPr>
                <w:b/>
                <w:bCs/>
              </w:rPr>
              <w:t xml:space="preserve">võlgnikult </w:t>
            </w:r>
            <w:r w:rsidR="00CD7666" w:rsidRPr="00CD7666">
              <w:rPr>
                <w:b/>
                <w:bCs/>
              </w:rPr>
              <w:t>Eurora FR Services OÜ (likvideerimisel</w:t>
            </w:r>
            <w:r w:rsidR="00CD7666">
              <w:rPr>
                <w:b/>
                <w:bCs/>
              </w:rPr>
              <w:t xml:space="preserve">) </w:t>
            </w:r>
            <w:r w:rsidR="00A75465">
              <w:rPr>
                <w:b/>
                <w:bCs/>
              </w:rPr>
              <w:t xml:space="preserve">ajutise halduri Toomas Saarma kasuks välja </w:t>
            </w:r>
            <w:r w:rsidRPr="00393B2E">
              <w:rPr>
                <w:b/>
                <w:shd w:val="clear" w:color="auto" w:fill="FFFFFF"/>
              </w:rPr>
              <w:t xml:space="preserve">ajutise halduri tasu </w:t>
            </w:r>
            <w:r w:rsidR="00CD7666">
              <w:rPr>
                <w:b/>
                <w:noProof/>
              </w:rPr>
              <w:t>3601,44</w:t>
            </w:r>
            <w:r w:rsidR="00CD7666" w:rsidRPr="00CD7666">
              <w:rPr>
                <w:b/>
                <w:noProof/>
              </w:rPr>
              <w:t xml:space="preserve"> eurot </w:t>
            </w:r>
            <w:r w:rsidR="00EE5D61" w:rsidRPr="00393B2E">
              <w:rPr>
                <w:b/>
                <w:shd w:val="clear" w:color="auto" w:fill="FFFFFF"/>
              </w:rPr>
              <w:t>(käibemaksuga)</w:t>
            </w:r>
            <w:r w:rsidR="00F539F2">
              <w:rPr>
                <w:b/>
                <w:shd w:val="clear" w:color="auto" w:fill="FFFFFF"/>
              </w:rPr>
              <w:t>, kohustusega maksta see</w:t>
            </w:r>
            <w:r w:rsidR="00EE5D61" w:rsidRPr="00393B2E">
              <w:rPr>
                <w:b/>
                <w:shd w:val="clear" w:color="auto" w:fill="FFFFFF"/>
              </w:rPr>
              <w:t xml:space="preserve"> </w:t>
            </w:r>
            <w:r w:rsidR="00CD7666" w:rsidRPr="00CD7666">
              <w:rPr>
                <w:b/>
                <w:shd w:val="clear" w:color="auto" w:fill="FFFFFF"/>
              </w:rPr>
              <w:t>OÜ</w:t>
            </w:r>
            <w:r w:rsidR="00A75465">
              <w:rPr>
                <w:b/>
                <w:shd w:val="clear" w:color="auto" w:fill="FFFFFF"/>
              </w:rPr>
              <w:t> </w:t>
            </w:r>
            <w:r w:rsidR="00CD7666" w:rsidRPr="00CD7666">
              <w:rPr>
                <w:b/>
                <w:shd w:val="clear" w:color="auto" w:fill="FFFFFF"/>
              </w:rPr>
              <w:t>Haldur arvelduskontole</w:t>
            </w:r>
            <w:r w:rsidR="00CD7666">
              <w:rPr>
                <w:b/>
                <w:shd w:val="clear" w:color="auto" w:fill="FFFFFF"/>
              </w:rPr>
              <w:t> </w:t>
            </w:r>
            <w:r w:rsidR="00CD7666" w:rsidRPr="00CD7666">
              <w:rPr>
                <w:b/>
                <w:shd w:val="clear" w:color="auto" w:fill="FFFFFF"/>
              </w:rPr>
              <w:t>EE452200221056487870</w:t>
            </w:r>
            <w:r w:rsidR="00CD7666">
              <w:rPr>
                <w:b/>
                <w:shd w:val="clear" w:color="auto" w:fill="FFFFFF"/>
              </w:rPr>
              <w:t>.</w:t>
            </w:r>
          </w:p>
          <w:p w14:paraId="27AC463A" w14:textId="77777777" w:rsidR="005A74E1" w:rsidRPr="00393B2E" w:rsidRDefault="005A74E1" w:rsidP="001C4494">
            <w:pPr>
              <w:pStyle w:val="Vahedeta"/>
              <w:jc w:val="both"/>
              <w:rPr>
                <w:b/>
                <w:bCs/>
              </w:rPr>
            </w:pPr>
          </w:p>
          <w:p w14:paraId="4995ADEE" w14:textId="77777777" w:rsidR="00CD7666" w:rsidRDefault="00CD7666" w:rsidP="001C4494">
            <w:pPr>
              <w:pStyle w:val="Vahedeta"/>
              <w:jc w:val="both"/>
              <w:rPr>
                <w:b/>
                <w:bCs/>
              </w:rPr>
            </w:pPr>
          </w:p>
          <w:p w14:paraId="170EF9E3" w14:textId="51306B6A" w:rsidR="005A74E1" w:rsidRPr="00393B2E" w:rsidRDefault="005A74E1" w:rsidP="001C4494">
            <w:pPr>
              <w:pStyle w:val="Vahedeta"/>
              <w:jc w:val="both"/>
              <w:rPr>
                <w:b/>
                <w:bCs/>
                <w:noProof/>
              </w:rPr>
            </w:pPr>
            <w:r w:rsidRPr="00393B2E">
              <w:rPr>
                <w:b/>
                <w:bCs/>
              </w:rPr>
              <w:lastRenderedPageBreak/>
              <w:t>Edasikaebamise kord</w:t>
            </w:r>
          </w:p>
        </w:tc>
      </w:tr>
      <w:tr w:rsidR="005A74E1" w:rsidRPr="00393B2E" w14:paraId="397E33B8" w14:textId="77777777" w:rsidTr="001C4494">
        <w:tc>
          <w:tcPr>
            <w:tcW w:w="9531" w:type="dxa"/>
            <w:gridSpan w:val="2"/>
          </w:tcPr>
          <w:p w14:paraId="5AC46164" w14:textId="77777777" w:rsidR="005A74E1" w:rsidRPr="00393B2E" w:rsidRDefault="005A74E1" w:rsidP="001C4494">
            <w:pPr>
              <w:pStyle w:val="Vahedeta"/>
              <w:jc w:val="both"/>
              <w:rPr>
                <w:noProof/>
              </w:rPr>
            </w:pPr>
          </w:p>
          <w:p w14:paraId="5F33A1A5" w14:textId="70FEE101" w:rsidR="005A74E1" w:rsidRPr="00393B2E" w:rsidRDefault="005A74E1" w:rsidP="001C4494">
            <w:pPr>
              <w:pStyle w:val="Vahedeta"/>
              <w:jc w:val="both"/>
            </w:pPr>
            <w:r w:rsidRPr="00393B2E">
              <w:rPr>
                <w:noProof/>
              </w:rPr>
              <w:t xml:space="preserve">Võlgnik võib esitada pankrotimääruse peale määruskaebuse. Määruskaebus tuleb esitada Tallinna Ringkonnakohtule Harju Maakohtu kaudu 15 päeva jooksul pankrotiteate avaldamisest. Menetluskulude kohta tehtud määruse peale, sh </w:t>
            </w:r>
            <w:r w:rsidR="009E6034" w:rsidRPr="00393B2E">
              <w:rPr>
                <w:noProof/>
              </w:rPr>
              <w:t>ajutise halduri</w:t>
            </w:r>
            <w:r w:rsidRPr="00393B2E">
              <w:rPr>
                <w:noProof/>
              </w:rPr>
              <w:t xml:space="preserve"> tasu ja kulutuste hüvitamise kohta tehtud määruse peale, võib esitada määruskaebuse 15 päeva jooksul </w:t>
            </w:r>
            <w:r w:rsidRPr="00393B2E">
              <w:t xml:space="preserve">kohtumääruse kättesaamisest. </w:t>
            </w:r>
            <w:r w:rsidRPr="00393B2E">
              <w:rPr>
                <w:noProof/>
              </w:rPr>
              <w:t xml:space="preserve">Määruskaebus tuleb </w:t>
            </w:r>
            <w:r w:rsidRPr="00393B2E">
              <w:t>esitada Tallinna Ringkonnakohtule Harju</w:t>
            </w:r>
            <w:r w:rsidR="00E227A8" w:rsidRPr="00393B2E">
              <w:t> </w:t>
            </w:r>
            <w:r w:rsidRPr="00393B2E">
              <w:t>Maakohtu kaudu.</w:t>
            </w:r>
            <w:r w:rsidR="009E6034" w:rsidRPr="00393B2E">
              <w:t xml:space="preserve"> </w:t>
            </w:r>
          </w:p>
          <w:p w14:paraId="0B007831" w14:textId="77777777" w:rsidR="009E6034" w:rsidRPr="00393B2E" w:rsidRDefault="009E6034" w:rsidP="001C4494">
            <w:pPr>
              <w:pStyle w:val="Vahedeta"/>
              <w:jc w:val="both"/>
            </w:pPr>
          </w:p>
          <w:p w14:paraId="3AD932CA" w14:textId="0FBF7EA1" w:rsidR="009E6034" w:rsidRPr="00393B2E" w:rsidRDefault="009E6034" w:rsidP="001C4494">
            <w:pPr>
              <w:pStyle w:val="Vahedeta"/>
              <w:jc w:val="both"/>
            </w:pPr>
          </w:p>
        </w:tc>
      </w:tr>
      <w:tr w:rsidR="005A74E1" w:rsidRPr="00272D29" w14:paraId="0B190355" w14:textId="77777777" w:rsidTr="001C4494">
        <w:tc>
          <w:tcPr>
            <w:tcW w:w="9531" w:type="dxa"/>
            <w:gridSpan w:val="2"/>
          </w:tcPr>
          <w:p w14:paraId="72464784" w14:textId="77777777" w:rsidR="005A74E1" w:rsidRPr="00393B2E" w:rsidRDefault="005A74E1" w:rsidP="001C4494">
            <w:pPr>
              <w:pStyle w:val="Vahedeta"/>
              <w:jc w:val="both"/>
              <w:rPr>
                <w:b/>
              </w:rPr>
            </w:pPr>
            <w:r w:rsidRPr="00393B2E">
              <w:rPr>
                <w:b/>
              </w:rPr>
              <w:t>ASJAOLUD</w:t>
            </w:r>
          </w:p>
          <w:p w14:paraId="13795E75" w14:textId="7CA9C9C5" w:rsidR="00AE31D6" w:rsidRPr="00393B2E" w:rsidRDefault="00CD7666" w:rsidP="001C4494">
            <w:pPr>
              <w:pStyle w:val="Loendilik"/>
              <w:numPr>
                <w:ilvl w:val="0"/>
                <w:numId w:val="2"/>
              </w:numPr>
              <w:tabs>
                <w:tab w:val="left" w:pos="284"/>
                <w:tab w:val="left" w:pos="426"/>
              </w:tabs>
              <w:spacing w:before="120" w:after="120"/>
              <w:jc w:val="both"/>
            </w:pPr>
            <w:r w:rsidRPr="00CD7666">
              <w:t xml:space="preserve">Eurora FR Services OÜ (likvideerimisel) </w:t>
            </w:r>
            <w:r>
              <w:t xml:space="preserve">(võlgnik) </w:t>
            </w:r>
            <w:r w:rsidR="005A74E1" w:rsidRPr="00393B2E">
              <w:rPr>
                <w:bCs/>
              </w:rPr>
              <w:t xml:space="preserve">esitas kohtule </w:t>
            </w:r>
            <w:r>
              <w:rPr>
                <w:bCs/>
              </w:rPr>
              <w:t>26.07.2024</w:t>
            </w:r>
            <w:r w:rsidR="005A74E1" w:rsidRPr="00393B2E">
              <w:rPr>
                <w:bCs/>
              </w:rPr>
              <w:t xml:space="preserve"> </w:t>
            </w:r>
            <w:r w:rsidR="00AE31D6" w:rsidRPr="00393B2E">
              <w:rPr>
                <w:bCs/>
              </w:rPr>
              <w:t xml:space="preserve">pankrotiavalduse. </w:t>
            </w:r>
          </w:p>
          <w:p w14:paraId="74B9D945" w14:textId="055E3CA9" w:rsidR="00AE31D6" w:rsidRPr="00393B2E" w:rsidRDefault="005A74E1" w:rsidP="001C4494">
            <w:pPr>
              <w:pStyle w:val="Loendilik"/>
              <w:numPr>
                <w:ilvl w:val="0"/>
                <w:numId w:val="2"/>
              </w:numPr>
              <w:tabs>
                <w:tab w:val="left" w:pos="284"/>
                <w:tab w:val="left" w:pos="426"/>
              </w:tabs>
              <w:spacing w:before="120" w:after="120"/>
              <w:jc w:val="both"/>
            </w:pPr>
            <w:r w:rsidRPr="00393B2E">
              <w:t xml:space="preserve">Kohus võttis </w:t>
            </w:r>
            <w:r w:rsidR="00CD7666">
              <w:t>05.08.2024</w:t>
            </w:r>
            <w:r w:rsidR="00AE31D6" w:rsidRPr="00393B2E">
              <w:t xml:space="preserve"> määrusega avalduse menetlusse ja nimetas ajutiseks pankrotihalduriks </w:t>
            </w:r>
            <w:r w:rsidR="00CD7666">
              <w:t>Toomas Saarma.</w:t>
            </w:r>
          </w:p>
          <w:p w14:paraId="2CC388D0" w14:textId="54E9F593" w:rsidR="00BD52D9" w:rsidRPr="00393B2E" w:rsidRDefault="00CD7666" w:rsidP="00BD52D9">
            <w:pPr>
              <w:pStyle w:val="Loendilik"/>
              <w:numPr>
                <w:ilvl w:val="0"/>
                <w:numId w:val="2"/>
              </w:numPr>
              <w:tabs>
                <w:tab w:val="left" w:pos="284"/>
                <w:tab w:val="left" w:pos="426"/>
              </w:tabs>
              <w:spacing w:before="120" w:after="120"/>
              <w:jc w:val="both"/>
            </w:pPr>
            <w:r>
              <w:t>Ajutine haldur esitas 27.08.2024 kohtule aruande. Aruande kohaselt on võlgnik</w:t>
            </w:r>
            <w:r w:rsidR="00BD52D9">
              <w:t>ul vara kokku 287 434,42 eurot ja 13 151,62 Ameerika dollarit (arvestamata võimalikk</w:t>
            </w:r>
            <w:r w:rsidR="00663099">
              <w:t xml:space="preserve">e nõudeid kolmandate isikute </w:t>
            </w:r>
            <w:r w:rsidR="00BD52D9">
              <w:t xml:space="preserve">vastu). Võlgniku võlad moodustavad kokku vähemalt 507 902,52 eurot (arvestamata võimalikke nõudeid võlgniku vastu, mida tuleb kontrollida), kuid tegelik summa on tõenäoliselt suurem. Ajutise halduri hinnangul on võlgnik püsivalt maksejõuetu. </w:t>
            </w:r>
            <w:r>
              <w:t xml:space="preserve">Võlgniku majandustegevuse </w:t>
            </w:r>
            <w:r w:rsidR="00BD52D9">
              <w:t xml:space="preserve">jätkamine ja tervendamine ei ole võimalik. </w:t>
            </w:r>
          </w:p>
          <w:p w14:paraId="10F2AEC3" w14:textId="77777777" w:rsidR="00BD52D9" w:rsidRDefault="00BD52D9" w:rsidP="001C4494">
            <w:pPr>
              <w:pStyle w:val="Vahedeta"/>
              <w:spacing w:beforeLines="50" w:before="120" w:afterLines="50" w:after="120"/>
              <w:jc w:val="both"/>
              <w:rPr>
                <w:b/>
              </w:rPr>
            </w:pPr>
          </w:p>
          <w:p w14:paraId="2FEA494C" w14:textId="7BF8C035" w:rsidR="005A74E1" w:rsidRPr="00393B2E" w:rsidRDefault="005A74E1" w:rsidP="001C4494">
            <w:pPr>
              <w:pStyle w:val="Vahedeta"/>
              <w:spacing w:beforeLines="50" w:before="120" w:afterLines="50" w:after="120"/>
              <w:jc w:val="both"/>
              <w:rPr>
                <w:b/>
              </w:rPr>
            </w:pPr>
            <w:r w:rsidRPr="00393B2E">
              <w:rPr>
                <w:b/>
              </w:rPr>
              <w:t>KOHTUMÄÄRUSE PÕHJENDUSED</w:t>
            </w:r>
          </w:p>
          <w:p w14:paraId="4A0AB111" w14:textId="68053C1B" w:rsidR="005A74E1" w:rsidRPr="00393B2E" w:rsidRDefault="00A068C9" w:rsidP="001C4494">
            <w:pPr>
              <w:pStyle w:val="Loendilik"/>
              <w:tabs>
                <w:tab w:val="left" w:pos="284"/>
                <w:tab w:val="left" w:pos="426"/>
              </w:tabs>
              <w:spacing w:before="120" w:after="120"/>
              <w:ind w:left="0"/>
              <w:jc w:val="both"/>
              <w:rPr>
                <w:b/>
                <w:bCs/>
              </w:rPr>
            </w:pPr>
            <w:r w:rsidRPr="00393B2E">
              <w:rPr>
                <w:b/>
                <w:bCs/>
              </w:rPr>
              <w:t>Pankroti</w:t>
            </w:r>
            <w:r w:rsidR="005A74E1" w:rsidRPr="00393B2E">
              <w:rPr>
                <w:b/>
                <w:bCs/>
              </w:rPr>
              <w:t>avalduse lahendamine</w:t>
            </w:r>
          </w:p>
          <w:p w14:paraId="4CD32988" w14:textId="58135D32" w:rsidR="005A74E1" w:rsidRPr="00393B2E" w:rsidRDefault="005A74E1" w:rsidP="001C4494">
            <w:pPr>
              <w:pStyle w:val="Loendilik"/>
              <w:numPr>
                <w:ilvl w:val="0"/>
                <w:numId w:val="2"/>
              </w:numPr>
              <w:tabs>
                <w:tab w:val="left" w:pos="284"/>
                <w:tab w:val="left" w:pos="426"/>
              </w:tabs>
              <w:spacing w:before="120" w:after="120"/>
              <w:jc w:val="both"/>
            </w:pPr>
            <w:r w:rsidRPr="00393B2E">
              <w:t xml:space="preserve">Kohus leiab, et </w:t>
            </w:r>
            <w:r w:rsidR="00432616" w:rsidRPr="00393B2E">
              <w:t>pankrotiavaldus tuleb rahuldada ning välja tuleb kuulutada võlgniku pankrot.</w:t>
            </w:r>
          </w:p>
          <w:p w14:paraId="61061EDA" w14:textId="45124407" w:rsidR="00432616" w:rsidRPr="00393B2E" w:rsidRDefault="00432616" w:rsidP="00432616">
            <w:pPr>
              <w:pStyle w:val="Loendilik"/>
              <w:numPr>
                <w:ilvl w:val="0"/>
                <w:numId w:val="2"/>
              </w:numPr>
              <w:tabs>
                <w:tab w:val="left" w:pos="284"/>
                <w:tab w:val="left" w:pos="426"/>
              </w:tabs>
              <w:spacing w:before="120" w:after="120"/>
              <w:jc w:val="both"/>
            </w:pPr>
            <w:r w:rsidRPr="00393B2E">
              <w:t xml:space="preserve">Kohus kuulutab pankroti välja, kui võlgnik on maksejõuetu (PankrS § 31 lg 1). </w:t>
            </w:r>
            <w:r w:rsidRPr="00393B2E">
              <w:rPr>
                <w:rFonts w:ascii="Arial" w:hAnsi="Arial" w:cs="Arial"/>
                <w:color w:val="202020"/>
                <w:sz w:val="21"/>
                <w:szCs w:val="21"/>
                <w:shd w:val="clear" w:color="auto" w:fill="FFFFFF"/>
              </w:rPr>
              <w:t xml:space="preserve"> </w:t>
            </w:r>
            <w:r w:rsidRPr="00393B2E">
              <w:t xml:space="preserve">Võlgnik on maksejõuetu, kui ta ei suuda rahuldada võlausaldaja sissenõutavaks muutunud nõuet ja see suutmatus ei ole võlgniku majanduslikust olukorrast tulenevalt ajutine (PankrS § 1 lg 2). Juriidilisest isikust võlgnik on maksejõuetu ka siis, kui võlgniku vara ei kata tema kohustusi ja selline seisund ei ole võlgniku majanduslikust olukorrast tulenevalt ajutine. Kohustustena arvestatakse ka nõudeid, mis ei ole muutunud sissenõutavaks (PankrS § 1 lg 3). </w:t>
            </w:r>
          </w:p>
          <w:p w14:paraId="7100087B" w14:textId="47F883A6" w:rsidR="00432616" w:rsidRPr="00393B2E" w:rsidRDefault="00432616" w:rsidP="00BD52D9">
            <w:pPr>
              <w:pStyle w:val="Loendilik"/>
              <w:numPr>
                <w:ilvl w:val="0"/>
                <w:numId w:val="2"/>
              </w:numPr>
              <w:tabs>
                <w:tab w:val="left" w:pos="284"/>
                <w:tab w:val="left" w:pos="426"/>
              </w:tabs>
              <w:spacing w:before="120" w:after="120"/>
              <w:jc w:val="both"/>
            </w:pPr>
            <w:r w:rsidRPr="00393B2E">
              <w:t>Kohus leiab, et kogutud tõenditega on kindlaks tehtud, et võlgnik on maksejõuetu ning et maksejõuetus on püsiva iseloomuga</w:t>
            </w:r>
            <w:r w:rsidR="00BD52D9">
              <w:t xml:space="preserve"> (vt ülal, p 3).</w:t>
            </w:r>
            <w:r w:rsidRPr="00393B2E">
              <w:t xml:space="preserve"> Praegusel juhul tuleb võlgniku maksejõuetust ka eeldada (PankrS § 31 lg 4).</w:t>
            </w:r>
          </w:p>
          <w:p w14:paraId="51E6F751" w14:textId="474BFCAE" w:rsidR="00432616" w:rsidRPr="00393B2E" w:rsidRDefault="00355BCF" w:rsidP="00355BCF">
            <w:pPr>
              <w:pStyle w:val="Loendilik"/>
              <w:numPr>
                <w:ilvl w:val="0"/>
                <w:numId w:val="2"/>
              </w:numPr>
              <w:tabs>
                <w:tab w:val="left" w:pos="284"/>
                <w:tab w:val="left" w:pos="426"/>
              </w:tabs>
              <w:spacing w:before="120" w:after="120"/>
              <w:jc w:val="both"/>
            </w:pPr>
            <w:r w:rsidRPr="00393B2E">
              <w:t xml:space="preserve">Eelnevat arvesse võttes kuulutab </w:t>
            </w:r>
            <w:r w:rsidR="00432616" w:rsidRPr="00393B2E">
              <w:t xml:space="preserve">kohus välja võlgniku pankroti. Kohus nimetab võlgniku pankrotihalduriks tema nõusolekul </w:t>
            </w:r>
            <w:r w:rsidR="00BD52D9">
              <w:t>Toomas Saarma</w:t>
            </w:r>
            <w:r w:rsidR="00432616" w:rsidRPr="00393B2E">
              <w:t xml:space="preserve"> (PankrS § 3</w:t>
            </w:r>
            <w:r w:rsidR="00B13A16" w:rsidRPr="00393B2E">
              <w:t>1</w:t>
            </w:r>
            <w:r w:rsidR="00432616" w:rsidRPr="00393B2E">
              <w:t xml:space="preserve"> lg 6 esimene lause).</w:t>
            </w:r>
          </w:p>
          <w:p w14:paraId="5552FD33" w14:textId="77777777" w:rsidR="0092170E" w:rsidRDefault="0092170E" w:rsidP="0092170E">
            <w:pPr>
              <w:pStyle w:val="Loendilik"/>
              <w:numPr>
                <w:ilvl w:val="0"/>
                <w:numId w:val="2"/>
              </w:numPr>
              <w:tabs>
                <w:tab w:val="left" w:pos="284"/>
                <w:tab w:val="left" w:pos="426"/>
              </w:tabs>
              <w:spacing w:before="120" w:after="120"/>
              <w:jc w:val="both"/>
            </w:pPr>
            <w:r>
              <w:t>Kohus määrab kohtumääruse resolutsioonis võlausaldajate esimese üldkoosoleku toimumise aja ja koha (PankrS § 31 lg 6 esimene lause).</w:t>
            </w:r>
          </w:p>
          <w:p w14:paraId="0D04696C" w14:textId="0E213BC0" w:rsidR="009E6034" w:rsidRPr="00393B2E" w:rsidRDefault="00355BCF" w:rsidP="009E6034">
            <w:pPr>
              <w:pStyle w:val="Loendilik"/>
              <w:numPr>
                <w:ilvl w:val="0"/>
                <w:numId w:val="2"/>
              </w:numPr>
              <w:tabs>
                <w:tab w:val="left" w:pos="284"/>
                <w:tab w:val="left" w:pos="426"/>
              </w:tabs>
              <w:spacing w:before="120" w:after="120"/>
              <w:jc w:val="both"/>
            </w:pPr>
            <w:r w:rsidRPr="00393B2E">
              <w:t>Kohus teeb käesoleva määruse teatavaks väljaandes Ametlikud Teadaanded (PankrS § 33 lg 1)</w:t>
            </w:r>
            <w:r w:rsidR="009E6034" w:rsidRPr="00393B2E">
              <w:t xml:space="preserve"> ning edastab Tartu Maakohtu registriosakonnale (PankrS § 39 lg 1</w:t>
            </w:r>
            <w:r w:rsidR="009571DC" w:rsidRPr="00393B2E">
              <w:t>).</w:t>
            </w:r>
          </w:p>
          <w:p w14:paraId="1EA6FBD0" w14:textId="5DEEFFF4" w:rsidR="005A74E1" w:rsidRPr="00393B2E" w:rsidRDefault="004A516C" w:rsidP="001C4494">
            <w:pPr>
              <w:rPr>
                <w:b/>
                <w:bCs/>
              </w:rPr>
            </w:pPr>
            <w:r>
              <w:rPr>
                <w:b/>
                <w:bCs/>
              </w:rPr>
              <w:t>M</w:t>
            </w:r>
            <w:r w:rsidR="005A74E1" w:rsidRPr="00393B2E">
              <w:rPr>
                <w:b/>
                <w:bCs/>
              </w:rPr>
              <w:t>enetluskulud</w:t>
            </w:r>
          </w:p>
          <w:p w14:paraId="07171EFA" w14:textId="0C1683BA" w:rsidR="005A74E1" w:rsidRPr="00393B2E" w:rsidRDefault="005A74E1" w:rsidP="001C4494">
            <w:pPr>
              <w:pStyle w:val="Loendilik"/>
              <w:numPr>
                <w:ilvl w:val="0"/>
                <w:numId w:val="2"/>
              </w:numPr>
              <w:tabs>
                <w:tab w:val="left" w:pos="284"/>
                <w:tab w:val="left" w:pos="426"/>
              </w:tabs>
              <w:spacing w:before="120" w:after="120"/>
              <w:jc w:val="both"/>
            </w:pPr>
            <w:r w:rsidRPr="00393B2E">
              <w:t xml:space="preserve">Kuna kohus rahuldab pankrotiavalduse, tuleb pankrotimenetluse kulud, sh </w:t>
            </w:r>
            <w:r w:rsidR="009E6034" w:rsidRPr="00393B2E">
              <w:t xml:space="preserve">ajutise halduri </w:t>
            </w:r>
            <w:r w:rsidRPr="00393B2E">
              <w:t>tasu tasuda pankrotivarast (PankrS § 150 lg 1 p 2, lg 2). Pankroti väljakuulutamisega moodustub võlgniku varast pankrotivara (PankrS § 35 lg 1 p 1).</w:t>
            </w:r>
          </w:p>
          <w:p w14:paraId="4FFA096A" w14:textId="4DC14AFC" w:rsidR="00E0567B" w:rsidRPr="00393B2E" w:rsidRDefault="00E0567B" w:rsidP="00E0567B">
            <w:pPr>
              <w:pStyle w:val="Loendilik"/>
              <w:numPr>
                <w:ilvl w:val="0"/>
                <w:numId w:val="2"/>
              </w:numPr>
              <w:tabs>
                <w:tab w:val="left" w:pos="284"/>
                <w:tab w:val="left" w:pos="426"/>
              </w:tabs>
              <w:spacing w:before="120" w:after="120"/>
              <w:jc w:val="both"/>
            </w:pPr>
            <w:r w:rsidRPr="00393B2E">
              <w:t xml:space="preserve">PankrS § 23 lg 1 kohaselt on ajutisel halduril õigus saada oma ülesannete täitmise eest tasu, mille suuruse määrab kohus, samuti nõuda oma ülesannete täitmiseks tehtud vajalike kulutuste hüvitamist, mida tasu ei kata. Tasu suuruse määramisel arvestab kohus ajutise halduri ülesannete mahtu ja keerukust ning ajutise halduri kutseoskusi. Kohus kontrollib ajutise halduri ülesannete </w:t>
            </w:r>
            <w:r w:rsidRPr="00393B2E">
              <w:lastRenderedPageBreak/>
              <w:t>täitmiseks tehtud kulutuste põhjendatust ja kinnitab vajalike ning põhjendatud kulutuste suuruse. PankrS § 23 lg 2 kohaselt on ajutise halduri tasu suuruse arvutamise aluseks ülesannete täitmisele kuluv aeg. Ajutise halduri tasu katab ka halduri tegevusega seotud üldised kulud, sealhulgas kulud büroo pidamisele, sidekulud ja riigisisesed reisikulud. PankrS § 23 lg 3 kohaselt on ajutise halduri tunnitasu ülemmäär 164 eurot.</w:t>
            </w:r>
          </w:p>
          <w:p w14:paraId="423F28D7" w14:textId="08BFF6EC" w:rsidR="00612DCF" w:rsidRDefault="00E0567B" w:rsidP="001C4494">
            <w:pPr>
              <w:pStyle w:val="Loendilik"/>
              <w:numPr>
                <w:ilvl w:val="0"/>
                <w:numId w:val="2"/>
              </w:numPr>
              <w:tabs>
                <w:tab w:val="left" w:pos="284"/>
                <w:tab w:val="left" w:pos="426"/>
              </w:tabs>
              <w:spacing w:before="120" w:after="120"/>
              <w:jc w:val="both"/>
            </w:pPr>
            <w:r w:rsidRPr="00393B2E">
              <w:rPr>
                <w:bCs/>
              </w:rPr>
              <w:t>Ajutine haldur</w:t>
            </w:r>
            <w:r w:rsidR="005A74E1" w:rsidRPr="00393B2E">
              <w:rPr>
                <w:bCs/>
              </w:rPr>
              <w:t xml:space="preserve"> palub määrata oma töötasuks </w:t>
            </w:r>
            <w:r w:rsidR="00BD52D9">
              <w:rPr>
                <w:bCs/>
              </w:rPr>
              <w:t xml:space="preserve">2952 </w:t>
            </w:r>
            <w:r w:rsidR="00E774BB">
              <w:rPr>
                <w:bCs/>
              </w:rPr>
              <w:t xml:space="preserve">eurot </w:t>
            </w:r>
            <w:r w:rsidR="005A74E1" w:rsidRPr="00393B2E">
              <w:rPr>
                <w:bCs/>
              </w:rPr>
              <w:t xml:space="preserve">(lisandub käibemaks). </w:t>
            </w:r>
            <w:r w:rsidRPr="00393B2E">
              <w:rPr>
                <w:bCs/>
              </w:rPr>
              <w:t xml:space="preserve">Ajutine haldur </w:t>
            </w:r>
            <w:r w:rsidR="005A74E1" w:rsidRPr="00393B2E">
              <w:rPr>
                <w:bCs/>
              </w:rPr>
              <w:t xml:space="preserve">on esitanud kohtule tasu ja tööaja arvestuse (PankrS § 23 lg 2), mille kohaselt </w:t>
            </w:r>
            <w:r w:rsidR="005A74E1" w:rsidRPr="00393B2E">
              <w:t xml:space="preserve">on ta kulutanud oma ülesannete täitmiseks </w:t>
            </w:r>
            <w:r w:rsidR="00BD52D9">
              <w:t xml:space="preserve">18 </w:t>
            </w:r>
            <w:r w:rsidRPr="00393B2E">
              <w:t>tundi</w:t>
            </w:r>
            <w:r w:rsidR="005A74E1" w:rsidRPr="00393B2E">
              <w:t>. Kohus leiab, et arvestades ülesannete mahtu</w:t>
            </w:r>
            <w:r w:rsidR="00BD52D9">
              <w:t xml:space="preserve"> käesolevas asjas</w:t>
            </w:r>
            <w:r w:rsidR="005A74E1" w:rsidRPr="00393B2E">
              <w:t xml:space="preserve"> ja keerukust, </w:t>
            </w:r>
            <w:r w:rsidRPr="00393B2E">
              <w:t>ajutise halduri</w:t>
            </w:r>
            <w:r w:rsidR="005A74E1" w:rsidRPr="00393B2E">
              <w:t xml:space="preserve"> kutseoskusi, on nimetatud ajakulu põhjendatud.</w:t>
            </w:r>
            <w:r w:rsidR="004B6278" w:rsidRPr="00393B2E">
              <w:t xml:space="preserve"> Tööaja arvestus sisaldab põhjendatud ning vajalikke toiminguid.</w:t>
            </w:r>
            <w:r w:rsidR="005A74E1" w:rsidRPr="00393B2E">
              <w:t xml:space="preserve"> </w:t>
            </w:r>
            <w:r w:rsidRPr="00393B2E">
              <w:t>Ajutise halduri t</w:t>
            </w:r>
            <w:r w:rsidR="005A74E1" w:rsidRPr="00393B2E">
              <w:t xml:space="preserve">unnitasu </w:t>
            </w:r>
            <w:r w:rsidR="00BD52D9">
              <w:t>164 </w:t>
            </w:r>
            <w:r w:rsidR="005A74E1" w:rsidRPr="00393B2E">
              <w:t>eurot mahub kehtestatud piirmääradesse</w:t>
            </w:r>
            <w:r w:rsidR="006F0942" w:rsidRPr="00393B2E">
              <w:t xml:space="preserve"> ning ei ole ebamõistlikult suur</w:t>
            </w:r>
            <w:r w:rsidR="005A74E1" w:rsidRPr="00393B2E">
              <w:t xml:space="preserve">. </w:t>
            </w:r>
          </w:p>
          <w:p w14:paraId="70351F9E" w14:textId="71131405" w:rsidR="005A74E1" w:rsidRPr="00393B2E" w:rsidRDefault="00227099" w:rsidP="0072324F">
            <w:pPr>
              <w:pStyle w:val="Loendilik"/>
              <w:numPr>
                <w:ilvl w:val="0"/>
                <w:numId w:val="2"/>
              </w:numPr>
              <w:tabs>
                <w:tab w:val="left" w:pos="284"/>
                <w:tab w:val="left" w:pos="426"/>
              </w:tabs>
              <w:spacing w:before="120" w:after="120"/>
              <w:jc w:val="both"/>
            </w:pPr>
            <w:r>
              <w:t xml:space="preserve">PankrS § 31 lg 6 viimase lause kohaselt mõistab kohus pankrotimäärusega välja ajutise halduri tasu ja kulutuste hüvitise ning ajutisele haldurile tehakse väljamakse. </w:t>
            </w:r>
            <w:r w:rsidR="005A74E1" w:rsidRPr="00393B2E">
              <w:t xml:space="preserve">Kohus </w:t>
            </w:r>
            <w:r w:rsidR="00BD52D9">
              <w:t xml:space="preserve">mõistab </w:t>
            </w:r>
            <w:r>
              <w:t xml:space="preserve">seetõttu </w:t>
            </w:r>
            <w:r w:rsidR="00BD52D9">
              <w:t xml:space="preserve">võlgnikult välja </w:t>
            </w:r>
            <w:r w:rsidR="00E0567B" w:rsidRPr="00393B2E">
              <w:t>ajutise halduri</w:t>
            </w:r>
            <w:r w:rsidR="005A74E1" w:rsidRPr="00393B2E">
              <w:t xml:space="preserve"> tasu </w:t>
            </w:r>
            <w:r w:rsidR="00BD52D9" w:rsidRPr="00227099">
              <w:rPr>
                <w:bCs/>
              </w:rPr>
              <w:t>2952</w:t>
            </w:r>
            <w:r w:rsidR="00612DCF" w:rsidRPr="00227099">
              <w:rPr>
                <w:bCs/>
              </w:rPr>
              <w:t> </w:t>
            </w:r>
            <w:r w:rsidR="00BD52D9" w:rsidRPr="00227099">
              <w:rPr>
                <w:bCs/>
              </w:rPr>
              <w:t>eurot</w:t>
            </w:r>
            <w:r w:rsidR="005A74E1" w:rsidRPr="00393B2E">
              <w:t xml:space="preserve"> (</w:t>
            </w:r>
            <w:r w:rsidR="00BD52D9">
              <w:t>18 x 164</w:t>
            </w:r>
            <w:r w:rsidR="005A74E1" w:rsidRPr="00393B2E">
              <w:t xml:space="preserve">), koos käibemaksuga </w:t>
            </w:r>
            <w:r w:rsidR="00BD52D9">
              <w:t>3601,44</w:t>
            </w:r>
            <w:r w:rsidR="005A74E1" w:rsidRPr="00393B2E">
              <w:t xml:space="preserve"> eurot (PankrS</w:t>
            </w:r>
            <w:r w:rsidR="004B6278" w:rsidRPr="00393B2E">
              <w:t> </w:t>
            </w:r>
            <w:r w:rsidR="005A74E1" w:rsidRPr="00393B2E">
              <w:t>§</w:t>
            </w:r>
            <w:r w:rsidR="004B6278" w:rsidRPr="00393B2E">
              <w:t> </w:t>
            </w:r>
            <w:r w:rsidR="005A74E1" w:rsidRPr="00393B2E">
              <w:t>23 lg 3 teine lause,  PankrS</w:t>
            </w:r>
            <w:r w:rsidR="00612DCF">
              <w:t> </w:t>
            </w:r>
            <w:r w:rsidR="005A74E1" w:rsidRPr="00393B2E">
              <w:t>§</w:t>
            </w:r>
            <w:r w:rsidR="00612DCF">
              <w:t> </w:t>
            </w:r>
            <w:r w:rsidR="005A74E1" w:rsidRPr="00393B2E">
              <w:t>65 lg 1</w:t>
            </w:r>
            <w:r w:rsidR="005A74E1" w:rsidRPr="00227099">
              <w:rPr>
                <w:vertAlign w:val="superscript"/>
              </w:rPr>
              <w:t>1</w:t>
            </w:r>
            <w:r w:rsidR="005A74E1" w:rsidRPr="00393B2E">
              <w:t xml:space="preserve">). Vastavalt </w:t>
            </w:r>
            <w:r w:rsidR="00B84D52" w:rsidRPr="00393B2E">
              <w:t>ajutise halduri</w:t>
            </w:r>
            <w:r w:rsidR="005A74E1" w:rsidRPr="00393B2E">
              <w:t xml:space="preserve"> taotlusele määrab kohus tasu maksmise büroole, mille kaudu </w:t>
            </w:r>
            <w:r w:rsidR="00411B62" w:rsidRPr="00393B2E">
              <w:t>ajutine haldur</w:t>
            </w:r>
            <w:r w:rsidR="005A74E1" w:rsidRPr="00393B2E">
              <w:t xml:space="preserve"> tegutseb (</w:t>
            </w:r>
            <w:r w:rsidR="00B84D52" w:rsidRPr="00393B2E">
              <w:t>PankrS § 23 lg 6</w:t>
            </w:r>
            <w:r w:rsidR="005A74E1" w:rsidRPr="00393B2E">
              <w:t>).</w:t>
            </w:r>
          </w:p>
          <w:p w14:paraId="2BA1F08F" w14:textId="77777777" w:rsidR="005A74E1" w:rsidRPr="00393B2E" w:rsidRDefault="005A74E1" w:rsidP="001C4494">
            <w:pPr>
              <w:pStyle w:val="Vahedeta"/>
              <w:jc w:val="both"/>
              <w:rPr>
                <w:i/>
              </w:rPr>
            </w:pPr>
          </w:p>
          <w:p w14:paraId="281FD31C" w14:textId="52052D26" w:rsidR="005A74E1" w:rsidRPr="00393B2E" w:rsidRDefault="005A74E1" w:rsidP="001C4494">
            <w:pPr>
              <w:pStyle w:val="Vahedeta"/>
              <w:jc w:val="both"/>
              <w:rPr>
                <w:i/>
              </w:rPr>
            </w:pPr>
            <w:r w:rsidRPr="00393B2E">
              <w:rPr>
                <w:i/>
              </w:rPr>
              <w:t>/allkirjastatud digitaalselt/</w:t>
            </w:r>
          </w:p>
          <w:p w14:paraId="67F29FC1" w14:textId="77777777" w:rsidR="005A74E1" w:rsidRPr="00393B2E" w:rsidRDefault="005A74E1" w:rsidP="001C4494">
            <w:pPr>
              <w:pStyle w:val="Vahedeta"/>
              <w:jc w:val="both"/>
            </w:pPr>
            <w:r w:rsidRPr="00393B2E">
              <w:t>Kaisa Margus</w:t>
            </w:r>
          </w:p>
          <w:p w14:paraId="61E78CFF" w14:textId="77777777" w:rsidR="005A74E1" w:rsidRPr="00BC7606" w:rsidRDefault="005A74E1" w:rsidP="001C4494">
            <w:pPr>
              <w:pStyle w:val="Vahedeta"/>
              <w:jc w:val="both"/>
            </w:pPr>
            <w:r w:rsidRPr="00393B2E">
              <w:t>kohtunik</w:t>
            </w:r>
          </w:p>
        </w:tc>
      </w:tr>
    </w:tbl>
    <w:p w14:paraId="3CC009A1" w14:textId="77777777" w:rsidR="00F01D96" w:rsidRPr="005F24FB" w:rsidRDefault="00F01D96" w:rsidP="00144397"/>
    <w:sectPr w:rsidR="00F01D96" w:rsidRPr="005F24FB" w:rsidSect="00515318">
      <w:footerReference w:type="even" r:id="rId10"/>
      <w:footerReference w:type="default" r:id="rId11"/>
      <w:pgSz w:w="11906" w:h="16838"/>
      <w:pgMar w:top="1134" w:right="851"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BB43" w14:textId="77777777" w:rsidR="00011C17" w:rsidRDefault="00011C17">
      <w:r>
        <w:separator/>
      </w:r>
    </w:p>
  </w:endnote>
  <w:endnote w:type="continuationSeparator" w:id="0">
    <w:p w14:paraId="47DB1BFA" w14:textId="77777777" w:rsidR="00011C17" w:rsidRDefault="0001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0BD8" w14:textId="77777777" w:rsidR="005A74E1" w:rsidRDefault="005A74E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7DA306A" w14:textId="77777777" w:rsidR="005A74E1" w:rsidRDefault="005A74E1">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3EF6" w14:textId="77777777" w:rsidR="005A74E1" w:rsidRDefault="005A74E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4</w:t>
    </w:r>
    <w:r>
      <w:rPr>
        <w:rStyle w:val="Lehekljenumber"/>
      </w:rPr>
      <w:fldChar w:fldCharType="end"/>
    </w:r>
  </w:p>
  <w:p w14:paraId="7356357C" w14:textId="77777777" w:rsidR="005A74E1" w:rsidRDefault="005A74E1" w:rsidP="00BC760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E7A6" w14:textId="77777777" w:rsidR="00011C17" w:rsidRDefault="00011C17">
      <w:r>
        <w:separator/>
      </w:r>
    </w:p>
  </w:footnote>
  <w:footnote w:type="continuationSeparator" w:id="0">
    <w:p w14:paraId="126E63D8" w14:textId="77777777" w:rsidR="00011C17" w:rsidRDefault="0001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E82"/>
    <w:multiLevelType w:val="hybridMultilevel"/>
    <w:tmpl w:val="A64C32CA"/>
    <w:lvl w:ilvl="0" w:tplc="FF32CC9C">
      <w:start w:val="1"/>
      <w:numFmt w:val="decimal"/>
      <w:lvlText w:val="%1."/>
      <w:lvlJc w:val="left"/>
      <w:pPr>
        <w:ind w:left="720" w:hanging="360"/>
      </w:pPr>
    </w:lvl>
    <w:lvl w:ilvl="1" w:tplc="388E07DC">
      <w:start w:val="1"/>
      <w:numFmt w:val="decimal"/>
      <w:lvlText w:val="%2."/>
      <w:lvlJc w:val="left"/>
      <w:pPr>
        <w:ind w:left="720" w:hanging="360"/>
      </w:pPr>
    </w:lvl>
    <w:lvl w:ilvl="2" w:tplc="E27AE252">
      <w:start w:val="1"/>
      <w:numFmt w:val="decimal"/>
      <w:lvlText w:val="%3."/>
      <w:lvlJc w:val="left"/>
      <w:pPr>
        <w:ind w:left="720" w:hanging="360"/>
      </w:pPr>
    </w:lvl>
    <w:lvl w:ilvl="3" w:tplc="12489126">
      <w:start w:val="1"/>
      <w:numFmt w:val="decimal"/>
      <w:lvlText w:val="%4."/>
      <w:lvlJc w:val="left"/>
      <w:pPr>
        <w:ind w:left="720" w:hanging="360"/>
      </w:pPr>
    </w:lvl>
    <w:lvl w:ilvl="4" w:tplc="FE04A8E0">
      <w:start w:val="1"/>
      <w:numFmt w:val="decimal"/>
      <w:lvlText w:val="%5."/>
      <w:lvlJc w:val="left"/>
      <w:pPr>
        <w:ind w:left="720" w:hanging="360"/>
      </w:pPr>
    </w:lvl>
    <w:lvl w:ilvl="5" w:tplc="398E7670">
      <w:start w:val="1"/>
      <w:numFmt w:val="decimal"/>
      <w:lvlText w:val="%6."/>
      <w:lvlJc w:val="left"/>
      <w:pPr>
        <w:ind w:left="720" w:hanging="360"/>
      </w:pPr>
    </w:lvl>
    <w:lvl w:ilvl="6" w:tplc="183284D2">
      <w:start w:val="1"/>
      <w:numFmt w:val="decimal"/>
      <w:lvlText w:val="%7."/>
      <w:lvlJc w:val="left"/>
      <w:pPr>
        <w:ind w:left="720" w:hanging="360"/>
      </w:pPr>
    </w:lvl>
    <w:lvl w:ilvl="7" w:tplc="CFCEB454">
      <w:start w:val="1"/>
      <w:numFmt w:val="decimal"/>
      <w:lvlText w:val="%8."/>
      <w:lvlJc w:val="left"/>
      <w:pPr>
        <w:ind w:left="720" w:hanging="360"/>
      </w:pPr>
    </w:lvl>
    <w:lvl w:ilvl="8" w:tplc="675E1AC2">
      <w:start w:val="1"/>
      <w:numFmt w:val="decimal"/>
      <w:lvlText w:val="%9."/>
      <w:lvlJc w:val="left"/>
      <w:pPr>
        <w:ind w:left="720" w:hanging="360"/>
      </w:pPr>
    </w:lvl>
  </w:abstractNum>
  <w:abstractNum w:abstractNumId="1" w15:restartNumberingAfterBreak="0">
    <w:nsid w:val="092D45F1"/>
    <w:multiLevelType w:val="multilevel"/>
    <w:tmpl w:val="245EB04A"/>
    <w:lvl w:ilvl="0">
      <w:start w:val="1"/>
      <w:numFmt w:val="decimal"/>
      <w:suff w:val="space"/>
      <w:lvlText w:val="%1."/>
      <w:lvlJc w:val="left"/>
      <w:pPr>
        <w:ind w:left="0"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71341A"/>
    <w:multiLevelType w:val="hybridMultilevel"/>
    <w:tmpl w:val="0A829904"/>
    <w:lvl w:ilvl="0" w:tplc="BF76BFFE">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5A901D1"/>
    <w:multiLevelType w:val="hybridMultilevel"/>
    <w:tmpl w:val="B40A74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62D148B6"/>
    <w:multiLevelType w:val="hybridMultilevel"/>
    <w:tmpl w:val="6E72A0C2"/>
    <w:lvl w:ilvl="0" w:tplc="D0F262B4">
      <w:start w:val="1"/>
      <w:numFmt w:val="decimal"/>
      <w:lvlText w:val="%1."/>
      <w:lvlJc w:val="left"/>
      <w:pPr>
        <w:ind w:left="720" w:hanging="360"/>
      </w:pPr>
    </w:lvl>
    <w:lvl w:ilvl="1" w:tplc="235A8412">
      <w:start w:val="1"/>
      <w:numFmt w:val="decimal"/>
      <w:lvlText w:val="%2."/>
      <w:lvlJc w:val="left"/>
      <w:pPr>
        <w:ind w:left="720" w:hanging="360"/>
      </w:pPr>
    </w:lvl>
    <w:lvl w:ilvl="2" w:tplc="4F9C7076">
      <w:start w:val="1"/>
      <w:numFmt w:val="decimal"/>
      <w:lvlText w:val="%3."/>
      <w:lvlJc w:val="left"/>
      <w:pPr>
        <w:ind w:left="720" w:hanging="360"/>
      </w:pPr>
    </w:lvl>
    <w:lvl w:ilvl="3" w:tplc="C49057A8">
      <w:start w:val="1"/>
      <w:numFmt w:val="decimal"/>
      <w:lvlText w:val="%4."/>
      <w:lvlJc w:val="left"/>
      <w:pPr>
        <w:ind w:left="720" w:hanging="360"/>
      </w:pPr>
    </w:lvl>
    <w:lvl w:ilvl="4" w:tplc="5B7AD7B8">
      <w:start w:val="1"/>
      <w:numFmt w:val="decimal"/>
      <w:lvlText w:val="%5."/>
      <w:lvlJc w:val="left"/>
      <w:pPr>
        <w:ind w:left="720" w:hanging="360"/>
      </w:pPr>
    </w:lvl>
    <w:lvl w:ilvl="5" w:tplc="27069E9C">
      <w:start w:val="1"/>
      <w:numFmt w:val="decimal"/>
      <w:lvlText w:val="%6."/>
      <w:lvlJc w:val="left"/>
      <w:pPr>
        <w:ind w:left="720" w:hanging="360"/>
      </w:pPr>
    </w:lvl>
    <w:lvl w:ilvl="6" w:tplc="5346003A">
      <w:start w:val="1"/>
      <w:numFmt w:val="decimal"/>
      <w:lvlText w:val="%7."/>
      <w:lvlJc w:val="left"/>
      <w:pPr>
        <w:ind w:left="720" w:hanging="360"/>
      </w:pPr>
    </w:lvl>
    <w:lvl w:ilvl="7" w:tplc="F4306332">
      <w:start w:val="1"/>
      <w:numFmt w:val="decimal"/>
      <w:lvlText w:val="%8."/>
      <w:lvlJc w:val="left"/>
      <w:pPr>
        <w:ind w:left="720" w:hanging="360"/>
      </w:pPr>
    </w:lvl>
    <w:lvl w:ilvl="8" w:tplc="D2361470">
      <w:start w:val="1"/>
      <w:numFmt w:val="decimal"/>
      <w:lvlText w:val="%9."/>
      <w:lvlJc w:val="left"/>
      <w:pPr>
        <w:ind w:left="720" w:hanging="360"/>
      </w:pPr>
    </w:lvl>
  </w:abstractNum>
  <w:abstractNum w:abstractNumId="5" w15:restartNumberingAfterBreak="0">
    <w:nsid w:val="6C7C1EEB"/>
    <w:multiLevelType w:val="hybridMultilevel"/>
    <w:tmpl w:val="90BAC1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93454763">
    <w:abstractNumId w:val="2"/>
  </w:num>
  <w:num w:numId="2" w16cid:durableId="133785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16958">
    <w:abstractNumId w:val="5"/>
  </w:num>
  <w:num w:numId="4" w16cid:durableId="1023943983">
    <w:abstractNumId w:val="4"/>
  </w:num>
  <w:num w:numId="5" w16cid:durableId="722367434">
    <w:abstractNumId w:val="3"/>
  </w:num>
  <w:num w:numId="6" w16cid:durableId="12497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E1"/>
    <w:rsid w:val="00011C17"/>
    <w:rsid w:val="00022BF2"/>
    <w:rsid w:val="00040887"/>
    <w:rsid w:val="00046660"/>
    <w:rsid w:val="00057506"/>
    <w:rsid w:val="000C37B5"/>
    <w:rsid w:val="000E0125"/>
    <w:rsid w:val="00144397"/>
    <w:rsid w:val="001533D1"/>
    <w:rsid w:val="00180FE1"/>
    <w:rsid w:val="002249BC"/>
    <w:rsid w:val="00227099"/>
    <w:rsid w:val="002504DE"/>
    <w:rsid w:val="002B239E"/>
    <w:rsid w:val="003011FC"/>
    <w:rsid w:val="0030555D"/>
    <w:rsid w:val="0031077B"/>
    <w:rsid w:val="003224C6"/>
    <w:rsid w:val="00355BCF"/>
    <w:rsid w:val="00393B2E"/>
    <w:rsid w:val="003A3EAD"/>
    <w:rsid w:val="003F4977"/>
    <w:rsid w:val="00411B62"/>
    <w:rsid w:val="0041283D"/>
    <w:rsid w:val="00432616"/>
    <w:rsid w:val="00432A69"/>
    <w:rsid w:val="00457B1E"/>
    <w:rsid w:val="0046739A"/>
    <w:rsid w:val="00485603"/>
    <w:rsid w:val="004A516C"/>
    <w:rsid w:val="004B6278"/>
    <w:rsid w:val="005A74E1"/>
    <w:rsid w:val="005E3C6C"/>
    <w:rsid w:val="005F24FB"/>
    <w:rsid w:val="00600354"/>
    <w:rsid w:val="00612DCF"/>
    <w:rsid w:val="00663099"/>
    <w:rsid w:val="00696D85"/>
    <w:rsid w:val="006D189A"/>
    <w:rsid w:val="006F0942"/>
    <w:rsid w:val="007A6D48"/>
    <w:rsid w:val="007B55FE"/>
    <w:rsid w:val="00824515"/>
    <w:rsid w:val="00844A13"/>
    <w:rsid w:val="008503AF"/>
    <w:rsid w:val="00872856"/>
    <w:rsid w:val="008C1630"/>
    <w:rsid w:val="008C50AC"/>
    <w:rsid w:val="0092170E"/>
    <w:rsid w:val="009571DC"/>
    <w:rsid w:val="009C31DB"/>
    <w:rsid w:val="009E5ACD"/>
    <w:rsid w:val="009E6034"/>
    <w:rsid w:val="00A058B4"/>
    <w:rsid w:val="00A068C9"/>
    <w:rsid w:val="00A61AB4"/>
    <w:rsid w:val="00A75465"/>
    <w:rsid w:val="00A94D5F"/>
    <w:rsid w:val="00AE31D6"/>
    <w:rsid w:val="00B0027B"/>
    <w:rsid w:val="00B06AA1"/>
    <w:rsid w:val="00B12E70"/>
    <w:rsid w:val="00B13835"/>
    <w:rsid w:val="00B13A16"/>
    <w:rsid w:val="00B34728"/>
    <w:rsid w:val="00B66273"/>
    <w:rsid w:val="00B84D52"/>
    <w:rsid w:val="00BA0988"/>
    <w:rsid w:val="00BD4062"/>
    <w:rsid w:val="00BD52D9"/>
    <w:rsid w:val="00C07BC9"/>
    <w:rsid w:val="00C16F8B"/>
    <w:rsid w:val="00C52DC6"/>
    <w:rsid w:val="00CC1A57"/>
    <w:rsid w:val="00CD2784"/>
    <w:rsid w:val="00CD716B"/>
    <w:rsid w:val="00CD7666"/>
    <w:rsid w:val="00D0101B"/>
    <w:rsid w:val="00D07A99"/>
    <w:rsid w:val="00D64B9A"/>
    <w:rsid w:val="00D81F5E"/>
    <w:rsid w:val="00E0567B"/>
    <w:rsid w:val="00E1442A"/>
    <w:rsid w:val="00E227A8"/>
    <w:rsid w:val="00E53E92"/>
    <w:rsid w:val="00E774BB"/>
    <w:rsid w:val="00E9167A"/>
    <w:rsid w:val="00EA1041"/>
    <w:rsid w:val="00ED5300"/>
    <w:rsid w:val="00EE3BC0"/>
    <w:rsid w:val="00EE5D61"/>
    <w:rsid w:val="00F01D96"/>
    <w:rsid w:val="00F03B53"/>
    <w:rsid w:val="00F12F68"/>
    <w:rsid w:val="00F539F2"/>
    <w:rsid w:val="00F67442"/>
    <w:rsid w:val="00F97E73"/>
    <w:rsid w:val="00FE18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1650"/>
  <w15:chartTrackingRefBased/>
  <w15:docId w15:val="{304A2A51-A384-49C4-9A4D-88091F9A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74E1"/>
    <w:pPr>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qFormat/>
    <w:rsid w:val="005A74E1"/>
    <w:pPr>
      <w:keepNext/>
      <w:jc w:val="center"/>
      <w:outlineLvl w:val="0"/>
    </w:pPr>
    <w:rPr>
      <w:b/>
      <w:noProof/>
      <w:spacing w:val="70"/>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5A74E1"/>
    <w:rPr>
      <w:rFonts w:ascii="Times New Roman" w:eastAsia="Times New Roman" w:hAnsi="Times New Roman" w:cs="Times New Roman"/>
      <w:b/>
      <w:noProof/>
      <w:spacing w:val="70"/>
      <w:kern w:val="0"/>
      <w:sz w:val="28"/>
      <w:szCs w:val="24"/>
      <w:lang w:eastAsia="et-EE"/>
      <w14:ligatures w14:val="none"/>
    </w:rPr>
  </w:style>
  <w:style w:type="paragraph" w:styleId="Jalus">
    <w:name w:val="footer"/>
    <w:basedOn w:val="Normaallaad"/>
    <w:link w:val="JalusMrk"/>
    <w:semiHidden/>
    <w:rsid w:val="005A74E1"/>
    <w:pPr>
      <w:tabs>
        <w:tab w:val="center" w:pos="4536"/>
        <w:tab w:val="right" w:pos="9072"/>
      </w:tabs>
    </w:pPr>
    <w:rPr>
      <w:szCs w:val="20"/>
      <w:lang w:val="en-GB" w:eastAsia="en-US"/>
    </w:rPr>
  </w:style>
  <w:style w:type="character" w:customStyle="1" w:styleId="JalusMrk">
    <w:name w:val="Jalus Märk"/>
    <w:basedOn w:val="Liguvaikefont"/>
    <w:link w:val="Jalus"/>
    <w:semiHidden/>
    <w:rsid w:val="005A74E1"/>
    <w:rPr>
      <w:rFonts w:ascii="Times New Roman" w:eastAsia="Times New Roman" w:hAnsi="Times New Roman" w:cs="Times New Roman"/>
      <w:kern w:val="0"/>
      <w:sz w:val="24"/>
      <w:szCs w:val="20"/>
      <w:lang w:val="en-GB"/>
      <w14:ligatures w14:val="none"/>
    </w:rPr>
  </w:style>
  <w:style w:type="character" w:styleId="Lehekljenumber">
    <w:name w:val="page number"/>
    <w:basedOn w:val="Liguvaikefont"/>
    <w:semiHidden/>
    <w:rsid w:val="005A74E1"/>
  </w:style>
  <w:style w:type="paragraph" w:styleId="Vahedeta">
    <w:name w:val="No Spacing"/>
    <w:link w:val="VahedetaMrk"/>
    <w:uiPriority w:val="1"/>
    <w:qFormat/>
    <w:rsid w:val="005A74E1"/>
    <w:pPr>
      <w:spacing w:after="0" w:line="240" w:lineRule="auto"/>
    </w:pPr>
    <w:rPr>
      <w:rFonts w:ascii="Times New Roman" w:eastAsia="Times New Roman" w:hAnsi="Times New Roman" w:cs="Times New Roman"/>
      <w:kern w:val="0"/>
      <w:sz w:val="24"/>
      <w:szCs w:val="24"/>
      <w:lang w:eastAsia="et-EE"/>
      <w14:ligatures w14:val="none"/>
    </w:rPr>
  </w:style>
  <w:style w:type="paragraph" w:styleId="Loendilik">
    <w:name w:val="List Paragraph"/>
    <w:basedOn w:val="Normaallaad"/>
    <w:link w:val="LoendilikMrk"/>
    <w:uiPriority w:val="34"/>
    <w:qFormat/>
    <w:rsid w:val="005A74E1"/>
    <w:pPr>
      <w:ind w:left="708"/>
    </w:pPr>
  </w:style>
  <w:style w:type="character" w:customStyle="1" w:styleId="VahedetaMrk">
    <w:name w:val="Vahedeta Märk"/>
    <w:link w:val="Vahedeta"/>
    <w:uiPriority w:val="1"/>
    <w:rsid w:val="005A74E1"/>
    <w:rPr>
      <w:rFonts w:ascii="Times New Roman" w:eastAsia="Times New Roman" w:hAnsi="Times New Roman" w:cs="Times New Roman"/>
      <w:kern w:val="0"/>
      <w:sz w:val="24"/>
      <w:szCs w:val="24"/>
      <w:lang w:eastAsia="et-EE"/>
      <w14:ligatures w14:val="none"/>
    </w:rPr>
  </w:style>
  <w:style w:type="character" w:customStyle="1" w:styleId="LoendilikMrk">
    <w:name w:val="Loendi lõik Märk"/>
    <w:basedOn w:val="Liguvaikefont"/>
    <w:link w:val="Loendilik"/>
    <w:uiPriority w:val="34"/>
    <w:rsid w:val="005A74E1"/>
    <w:rPr>
      <w:rFonts w:ascii="Times New Roman" w:eastAsia="Times New Roman" w:hAnsi="Times New Roman" w:cs="Times New Roman"/>
      <w:kern w:val="0"/>
      <w:sz w:val="24"/>
      <w:szCs w:val="24"/>
      <w:lang w:eastAsia="et-EE"/>
      <w14:ligatures w14:val="none"/>
    </w:rPr>
  </w:style>
  <w:style w:type="paragraph" w:customStyle="1" w:styleId="Default">
    <w:name w:val="Default"/>
    <w:rsid w:val="005A74E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Kommentaariviide">
    <w:name w:val="annotation reference"/>
    <w:basedOn w:val="Liguvaikefont"/>
    <w:uiPriority w:val="99"/>
    <w:semiHidden/>
    <w:unhideWhenUsed/>
    <w:rsid w:val="00B34728"/>
    <w:rPr>
      <w:sz w:val="16"/>
      <w:szCs w:val="16"/>
    </w:rPr>
  </w:style>
  <w:style w:type="paragraph" w:styleId="Kommentaaritekst">
    <w:name w:val="annotation text"/>
    <w:basedOn w:val="Normaallaad"/>
    <w:link w:val="KommentaaritekstMrk"/>
    <w:uiPriority w:val="99"/>
    <w:unhideWhenUsed/>
    <w:rsid w:val="00B34728"/>
    <w:rPr>
      <w:sz w:val="20"/>
      <w:szCs w:val="20"/>
    </w:rPr>
  </w:style>
  <w:style w:type="character" w:customStyle="1" w:styleId="KommentaaritekstMrk">
    <w:name w:val="Kommentaari tekst Märk"/>
    <w:basedOn w:val="Liguvaikefont"/>
    <w:link w:val="Kommentaaritekst"/>
    <w:uiPriority w:val="99"/>
    <w:rsid w:val="00B34728"/>
    <w:rPr>
      <w:rFonts w:ascii="Times New Roman" w:eastAsia="Times New Roman" w:hAnsi="Times New Roman"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B34728"/>
    <w:rPr>
      <w:b/>
      <w:bCs/>
    </w:rPr>
  </w:style>
  <w:style w:type="character" w:customStyle="1" w:styleId="KommentaariteemaMrk">
    <w:name w:val="Kommentaari teema Märk"/>
    <w:basedOn w:val="KommentaaritekstMrk"/>
    <w:link w:val="Kommentaariteema"/>
    <w:uiPriority w:val="99"/>
    <w:semiHidden/>
    <w:rsid w:val="00B34728"/>
    <w:rPr>
      <w:rFonts w:ascii="Times New Roman" w:eastAsia="Times New Roman" w:hAnsi="Times New Roman" w:cs="Times New Roman"/>
      <w:b/>
      <w:bCs/>
      <w:kern w:val="0"/>
      <w:sz w:val="20"/>
      <w:szCs w:val="20"/>
      <w:lang w:eastAsia="et-EE"/>
      <w14:ligatures w14:val="none"/>
    </w:rPr>
  </w:style>
  <w:style w:type="character" w:styleId="Hperlink">
    <w:name w:val="Hyperlink"/>
    <w:basedOn w:val="Liguvaikefont"/>
    <w:uiPriority w:val="99"/>
    <w:unhideWhenUsed/>
    <w:rsid w:val="00F97E73"/>
    <w:rPr>
      <w:color w:val="0563C1" w:themeColor="hyperlink"/>
      <w:u w:val="single"/>
    </w:rPr>
  </w:style>
  <w:style w:type="character" w:styleId="Lahendamatamainimine">
    <w:name w:val="Unresolved Mention"/>
    <w:basedOn w:val="Liguvaikefont"/>
    <w:uiPriority w:val="99"/>
    <w:semiHidden/>
    <w:unhideWhenUsed/>
    <w:rsid w:val="00F97E73"/>
    <w:rPr>
      <w:color w:val="605E5C"/>
      <w:shd w:val="clear" w:color="auto" w:fill="E1DFDD"/>
    </w:rPr>
  </w:style>
  <w:style w:type="paragraph" w:styleId="Redaktsioon">
    <w:name w:val="Revision"/>
    <w:hidden/>
    <w:uiPriority w:val="99"/>
    <w:semiHidden/>
    <w:rsid w:val="00EE5D61"/>
    <w:pPr>
      <w:spacing w:after="0" w:line="240" w:lineRule="auto"/>
    </w:pPr>
    <w:rPr>
      <w:rFonts w:ascii="Times New Roman" w:eastAsia="Times New Roman" w:hAnsi="Times New Roman" w:cs="Times New Roman"/>
      <w:kern w:val="0"/>
      <w:sz w:val="24"/>
      <w:szCs w:val="24"/>
      <w:lang w:eastAsia="et-EE"/>
      <w14:ligatures w14:val="none"/>
    </w:rPr>
  </w:style>
  <w:style w:type="paragraph" w:styleId="Kehatekst">
    <w:name w:val="Body Text"/>
    <w:basedOn w:val="Normaallaad"/>
    <w:link w:val="KehatekstMrk"/>
    <w:uiPriority w:val="99"/>
    <w:rsid w:val="00CD7666"/>
    <w:pPr>
      <w:spacing w:after="120"/>
    </w:pPr>
  </w:style>
  <w:style w:type="character" w:customStyle="1" w:styleId="KehatekstMrk">
    <w:name w:val="Kehatekst Märk"/>
    <w:basedOn w:val="Liguvaikefont"/>
    <w:link w:val="Kehatekst"/>
    <w:uiPriority w:val="99"/>
    <w:rsid w:val="00CD7666"/>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85422">
      <w:bodyDiv w:val="1"/>
      <w:marLeft w:val="0"/>
      <w:marRight w:val="0"/>
      <w:marTop w:val="0"/>
      <w:marBottom w:val="0"/>
      <w:divBdr>
        <w:top w:val="none" w:sz="0" w:space="0" w:color="auto"/>
        <w:left w:val="none" w:sz="0" w:space="0" w:color="auto"/>
        <w:bottom w:val="none" w:sz="0" w:space="0" w:color="auto"/>
        <w:right w:val="none" w:sz="0" w:space="0" w:color="auto"/>
      </w:divBdr>
      <w:divsChild>
        <w:div w:id="85271547">
          <w:marLeft w:val="0"/>
          <w:marRight w:val="0"/>
          <w:marTop w:val="0"/>
          <w:marBottom w:val="0"/>
          <w:divBdr>
            <w:top w:val="none" w:sz="0" w:space="0" w:color="auto"/>
            <w:left w:val="none" w:sz="0" w:space="0" w:color="auto"/>
            <w:bottom w:val="none" w:sz="0" w:space="0" w:color="auto"/>
            <w:right w:val="none" w:sz="0" w:space="0" w:color="auto"/>
          </w:divBdr>
        </w:div>
        <w:div w:id="1473207541">
          <w:marLeft w:val="0"/>
          <w:marRight w:val="0"/>
          <w:marTop w:val="0"/>
          <w:marBottom w:val="0"/>
          <w:divBdr>
            <w:top w:val="none" w:sz="0" w:space="0" w:color="auto"/>
            <w:left w:val="none" w:sz="0" w:space="0" w:color="auto"/>
            <w:bottom w:val="none" w:sz="0" w:space="0" w:color="auto"/>
            <w:right w:val="none" w:sz="0" w:space="0" w:color="auto"/>
          </w:divBdr>
        </w:div>
      </w:divsChild>
    </w:div>
    <w:div w:id="15599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ldur@haldur.eu"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A1AC-0C7E-44CD-B18F-7F76FBB0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959</Words>
  <Characters>5564</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Kaisa Margus</cp:lastModifiedBy>
  <cp:revision>14</cp:revision>
  <cp:lastPrinted>2024-06-17T04:34:00Z</cp:lastPrinted>
  <dcterms:created xsi:type="dcterms:W3CDTF">2024-07-10T11:25:00Z</dcterms:created>
  <dcterms:modified xsi:type="dcterms:W3CDTF">2024-08-30T09:32:00Z</dcterms:modified>
</cp:coreProperties>
</file>